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0C7" w:rsidRDefault="008A60C7" w:rsidP="008A60C7">
      <w:pPr>
        <w:pStyle w:val="a5"/>
        <w:widowControl w:val="0"/>
        <w:adjustRightInd w:val="0"/>
        <w:snapToGrid w:val="0"/>
        <w:spacing w:before="0" w:beforeAutospacing="0" w:after="0" w:afterAutospacing="0" w:line="560" w:lineRule="exact"/>
        <w:jc w:val="center"/>
        <w:rPr>
          <w:rFonts w:ascii="方正小标宋简体" w:eastAsia="方正小标宋简体"/>
          <w:sz w:val="44"/>
          <w:szCs w:val="44"/>
        </w:rPr>
      </w:pPr>
      <w:r>
        <w:rPr>
          <w:rFonts w:ascii="方正小标宋简体" w:eastAsia="方正小标宋简体" w:hint="eastAsia"/>
          <w:sz w:val="44"/>
          <w:szCs w:val="44"/>
        </w:rPr>
        <w:t>中关村现代园艺产业创新中心建设</w:t>
      </w:r>
    </w:p>
    <w:p w:rsidR="008A60C7" w:rsidRDefault="008A60C7" w:rsidP="008A60C7">
      <w:pPr>
        <w:pBdr>
          <w:bottom w:val="single" w:sz="4" w:space="31" w:color="FFFFFF"/>
        </w:pBdr>
        <w:tabs>
          <w:tab w:val="left" w:pos="1440"/>
        </w:tabs>
        <w:adjustRightInd w:val="0"/>
        <w:snapToGrid w:val="0"/>
        <w:spacing w:line="560" w:lineRule="exact"/>
        <w:jc w:val="center"/>
        <w:rPr>
          <w:rFonts w:ascii="仿宋_GB2312" w:eastAsia="方正小标宋简体" w:cs="Courier New"/>
          <w:sz w:val="44"/>
          <w:szCs w:val="44"/>
        </w:rPr>
      </w:pPr>
      <w:r>
        <w:rPr>
          <w:rFonts w:ascii="方正小标宋简体" w:eastAsia="方正小标宋简体" w:hint="eastAsia"/>
          <w:sz w:val="44"/>
          <w:szCs w:val="44"/>
        </w:rPr>
        <w:t>三年行动计划（2020-2022）（修订）</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楷体_GB2312" w:eastAsia="楷体_GB2312"/>
          <w:szCs w:val="32"/>
        </w:rPr>
      </w:pPr>
      <w:r>
        <w:rPr>
          <w:rFonts w:ascii="仿宋_GB2312" w:eastAsia="仿宋_GB2312" w:hAnsiTheme="minorHAnsi" w:cstheme="minorBidi" w:hint="eastAsia"/>
          <w:bCs w:val="0"/>
          <w:szCs w:val="32"/>
        </w:rPr>
        <w:t>推进中关村现代园艺产业创新中心建设，是全面贯彻新发展理念、深化中关村示范区创新驱动引领作用、推动延庆高质量绿色发展的必然要求。结合《中共中央国务院关于深入推进农业供给侧结构性改革加快培育农业农村发展新动能的若干意见》、市委市政府《关于推动生态涵养区生态保护和绿色发展的实施意见》以及《中关村国家自主示范区创新引领高质量发展行动计划（2018-2022年）》等文件，制定本行动计划。</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pPr>
      <w:r>
        <w:rPr>
          <w:rFonts w:hint="eastAsia"/>
        </w:rPr>
        <w:t>一、指导思想</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hAnsiTheme="minorHAnsi" w:cstheme="minorBidi"/>
          <w:bCs w:val="0"/>
          <w:szCs w:val="32"/>
        </w:rPr>
      </w:pPr>
      <w:r>
        <w:rPr>
          <w:rFonts w:ascii="仿宋_GB2312" w:eastAsia="仿宋_GB2312" w:hAnsiTheme="minorHAnsi" w:cstheme="minorBidi" w:hint="eastAsia"/>
          <w:bCs w:val="0"/>
          <w:szCs w:val="32"/>
        </w:rPr>
        <w:t>以习近平新时代中国特色社会主义思想为指导，积极贯彻落实新发展理念，认真学习贯彻习近平总书记在2019北京</w:t>
      </w:r>
      <w:proofErr w:type="gramStart"/>
      <w:r>
        <w:rPr>
          <w:rFonts w:ascii="仿宋_GB2312" w:eastAsia="仿宋_GB2312" w:hAnsiTheme="minorHAnsi" w:cstheme="minorBidi" w:hint="eastAsia"/>
          <w:bCs w:val="0"/>
          <w:szCs w:val="32"/>
        </w:rPr>
        <w:t>世</w:t>
      </w:r>
      <w:proofErr w:type="gramEnd"/>
      <w:r>
        <w:rPr>
          <w:rFonts w:ascii="仿宋_GB2312" w:eastAsia="仿宋_GB2312" w:hAnsiTheme="minorHAnsi" w:cstheme="minorBidi" w:hint="eastAsia"/>
          <w:bCs w:val="0"/>
          <w:szCs w:val="32"/>
        </w:rPr>
        <w:t>园会开幕式上的讲话精神，深入落实《北京城市总体规划(2016年-2035年)》和首都“四个中心”战略功能定位，秉承“立足北京、服务全国、面向世界”的宗旨，发挥中关村示范区科技引领先发优势，坚持创新发展、减量发展、高质量发展，加快突破现代园艺产业关键核心技术，着力促进科技成果转化，努力构建高精尖经济结构，不断推进产业结构优化升级，逐步将中关村现代园艺产业创新中心建设成为具有全球影响力的现代园艺产业集群和发展示范区。</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pPr>
      <w:r>
        <w:rPr>
          <w:rFonts w:hint="eastAsia"/>
        </w:rPr>
        <w:t>二、基本原则</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楷体_GB2312" w:eastAsia="楷体_GB2312"/>
        </w:rPr>
      </w:pPr>
      <w:r>
        <w:rPr>
          <w:rFonts w:ascii="楷体_GB2312" w:eastAsia="楷体_GB2312" w:hint="eastAsia"/>
        </w:rPr>
        <w:t>（一）坚持科技文化双轮驱动，协同创新发展</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rPr>
      </w:pPr>
      <w:r>
        <w:rPr>
          <w:rFonts w:ascii="仿宋_GB2312" w:eastAsia="仿宋_GB2312" w:hint="eastAsia"/>
        </w:rPr>
        <w:lastRenderedPageBreak/>
        <w:t>紧扣世界前沿、国家战略需求，瞄准产业高端领域和关键环节，加大科技创新，深挖文化资源，将科技创新和文化创新有效结合，完善产业协同创新体系，打造产业发展新引擎。</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楷体_GB2312" w:eastAsia="楷体_GB2312"/>
        </w:rPr>
      </w:pPr>
      <w:r>
        <w:rPr>
          <w:rFonts w:ascii="楷体_GB2312" w:eastAsia="楷体_GB2312"/>
        </w:rPr>
        <w:t>（二）坚持市场主导，产学研用融合发展</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rPr>
      </w:pPr>
      <w:r>
        <w:rPr>
          <w:rFonts w:ascii="仿宋_GB2312" w:eastAsia="仿宋_GB2312" w:hint="eastAsia"/>
        </w:rPr>
        <w:t>充分尊重市场在资源配置中的决定性作用，主动发挥政府引导，充分调动企业、高校院所、行业组织、农民合作社以及专家学者、实用型人才、新型职业农民等积极性，实现产学研用深度融合。</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楷体_GB2312" w:eastAsia="楷体_GB2312"/>
        </w:rPr>
      </w:pPr>
      <w:r>
        <w:rPr>
          <w:rFonts w:ascii="楷体_GB2312" w:eastAsia="楷体_GB2312"/>
        </w:rPr>
        <w:t>（三）坚持改革引领，资源整合发展</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rPr>
      </w:pPr>
      <w:r>
        <w:rPr>
          <w:rFonts w:ascii="仿宋_GB2312" w:eastAsia="仿宋_GB2312" w:hint="eastAsia"/>
        </w:rPr>
        <w:t>深化体制机制改革，举全区之力，各部门齐抓共管，强力整合政策、土地、资金、人才、技术等资源，形成合力。构建以技术、人才、信息、市场等为要素的创新体系，营造良好产业生态。</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pPr>
      <w:bookmarkStart w:id="0" w:name="_Hlk28263458"/>
      <w:r>
        <w:rPr>
          <w:rFonts w:hint="eastAsia"/>
        </w:rPr>
        <w:t>三、发展目标</w:t>
      </w:r>
      <w:bookmarkEnd w:id="0"/>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rPr>
      </w:pPr>
      <w:r>
        <w:rPr>
          <w:rFonts w:ascii="仿宋_GB2312" w:eastAsia="仿宋_GB2312" w:hint="eastAsia"/>
        </w:rPr>
        <w:t>经过三年努力，高水平推进</w:t>
      </w:r>
      <w:proofErr w:type="gramStart"/>
      <w:r>
        <w:rPr>
          <w:rFonts w:ascii="仿宋_GB2312" w:eastAsia="仿宋_GB2312" w:hint="eastAsia"/>
        </w:rPr>
        <w:t>世</w:t>
      </w:r>
      <w:proofErr w:type="gramEnd"/>
      <w:r>
        <w:rPr>
          <w:rFonts w:ascii="仿宋_GB2312" w:eastAsia="仿宋_GB2312" w:hint="eastAsia"/>
        </w:rPr>
        <w:t>园会遗产后续利用，形成具有园艺特色的文化功能区，打造北京融合园艺发展示范区、</w:t>
      </w:r>
      <w:proofErr w:type="gramStart"/>
      <w:r>
        <w:rPr>
          <w:rFonts w:ascii="仿宋_GB2312" w:eastAsia="仿宋_GB2312" w:hint="eastAsia"/>
        </w:rPr>
        <w:t>京西北园艺</w:t>
      </w:r>
      <w:proofErr w:type="gramEnd"/>
      <w:r>
        <w:rPr>
          <w:rFonts w:ascii="仿宋_GB2312" w:eastAsia="仿宋_GB2312" w:hint="eastAsia"/>
        </w:rPr>
        <w:t>体验消费目的地。打造全国花卉“科技创新平台”“综合信息平台”“培训平台”“会展活动平台”“产业促进平台”，将中关村现代园艺产业创新中心初步建设成为首都高质量绿色发展示范区、北方现代园艺产业创新集聚发展主阵地、国际园艺创新要素和资源链接的重要枢纽。创新要素不断聚集，创新创业活力持续迸发，创新成果逐步产业化，培育一批领军企业，打造一批知名品牌，培养一批优秀人才，</w:t>
      </w:r>
      <w:r>
        <w:rPr>
          <w:rFonts w:ascii="仿宋_GB2312" w:eastAsia="仿宋_GB2312" w:hint="eastAsia"/>
        </w:rPr>
        <w:lastRenderedPageBreak/>
        <w:t>攻克一批关键技术。</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rPr>
      </w:pPr>
      <w:r>
        <w:rPr>
          <w:rFonts w:ascii="仿宋_GB2312" w:eastAsia="仿宋_GB2312" w:hint="eastAsia"/>
        </w:rPr>
        <w:t>到2022年，</w:t>
      </w:r>
      <w:proofErr w:type="gramStart"/>
      <w:r>
        <w:rPr>
          <w:rFonts w:ascii="仿宋_GB2312" w:eastAsia="仿宋_GB2312" w:hint="eastAsia"/>
        </w:rPr>
        <w:t>冷凉型及</w:t>
      </w:r>
      <w:proofErr w:type="gramEnd"/>
      <w:r>
        <w:rPr>
          <w:rFonts w:ascii="仿宋_GB2312" w:eastAsia="仿宋_GB2312" w:hint="eastAsia"/>
        </w:rPr>
        <w:t>球宿根花卉引种繁育、特色蔬菜果品种质资源收集繁育、花卉工程技术研发、园艺植保技术推广等产业环节取得新突破，打造中国</w:t>
      </w:r>
      <w:proofErr w:type="gramStart"/>
      <w:r>
        <w:rPr>
          <w:rFonts w:ascii="仿宋_GB2312" w:eastAsia="仿宋_GB2312" w:hint="eastAsia"/>
        </w:rPr>
        <w:t>冷凉型花卉</w:t>
      </w:r>
      <w:proofErr w:type="gramEnd"/>
      <w:r>
        <w:rPr>
          <w:rFonts w:ascii="仿宋_GB2312" w:eastAsia="仿宋_GB2312" w:hint="eastAsia"/>
        </w:rPr>
        <w:t>及球宿根花卉引种繁育中心、首都科研院所科技成果转化中心、植保技术推广中心，推动植物新品种权保护管理、园艺微景观文创等业态走在行业前列。现代园艺企业、科研单位、产业组织集聚数量超过200个，细分领域领军企业5个，引进科研创新团队15个；园艺及衍生产业销售收入9亿元；拥有自主知识产权的新品种、具有专利权的新技术、具有实用新型专利的新产品20个；现代园艺科技创新成果转移转化100项。</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黑体" w:hAnsi="黑体" w:cs="黑体"/>
          <w:szCs w:val="32"/>
        </w:rPr>
      </w:pPr>
      <w:r>
        <w:rPr>
          <w:rFonts w:ascii="黑体" w:hAnsi="黑体" w:cs="黑体" w:hint="eastAsia"/>
          <w:szCs w:val="32"/>
        </w:rPr>
        <w:t>四、主要任务</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楷体_GB2312" w:eastAsia="楷体_GB2312"/>
        </w:rPr>
      </w:pPr>
      <w:r>
        <w:rPr>
          <w:rFonts w:ascii="楷体_GB2312" w:eastAsia="楷体_GB2312" w:hint="eastAsia"/>
        </w:rPr>
        <w:t>（一）坚持规划引领，持续加强顶层设计</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bCs w:val="0"/>
        </w:rPr>
      </w:pPr>
      <w:r>
        <w:rPr>
          <w:rFonts w:ascii="仿宋_GB2312" w:eastAsia="仿宋_GB2312" w:hint="eastAsia"/>
          <w:bCs w:val="0"/>
        </w:rPr>
        <w:t>1.优化产业格局</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rPr>
      </w:pPr>
      <w:r>
        <w:rPr>
          <w:rFonts w:ascii="仿宋_GB2312" w:eastAsia="仿宋_GB2312" w:hint="eastAsia"/>
        </w:rPr>
        <w:t>支持企业、高校院所、行业组织，以现代园艺品种创新、产业化关键技术研发应用及园艺科技服务业为方向，聚焦种质资源评价和利用、品种创新、品种审定推广、新品种权保护等产业环节，重点突破高端园艺种植生产、专用设施设备及资材生产、产品采后保鲜等关键技术，推动与人工智能、新能源、生物医药、电子商务、金融等相关产业深度融合。统筹</w:t>
      </w:r>
      <w:proofErr w:type="gramStart"/>
      <w:r>
        <w:rPr>
          <w:rFonts w:ascii="仿宋_GB2312" w:eastAsia="仿宋_GB2312" w:hint="eastAsia"/>
        </w:rPr>
        <w:t>世</w:t>
      </w:r>
      <w:proofErr w:type="gramEnd"/>
      <w:r>
        <w:rPr>
          <w:rFonts w:ascii="仿宋_GB2312" w:eastAsia="仿宋_GB2312" w:hint="eastAsia"/>
        </w:rPr>
        <w:t>园会园区产业用地资源，辐射周边区域，围绕科研创新、成果转化、会展交易、</w:t>
      </w:r>
      <w:proofErr w:type="gramStart"/>
      <w:r>
        <w:rPr>
          <w:rFonts w:ascii="仿宋_GB2312" w:eastAsia="仿宋_GB2312" w:hint="eastAsia"/>
        </w:rPr>
        <w:t>文旅融合</w:t>
      </w:r>
      <w:proofErr w:type="gramEnd"/>
      <w:r>
        <w:rPr>
          <w:rFonts w:ascii="仿宋_GB2312" w:eastAsia="仿宋_GB2312" w:hint="eastAsia"/>
        </w:rPr>
        <w:t>，打造要素齐全、动能强劲、协同发展的产业“核心区”。依托镇域产业</w:t>
      </w:r>
      <w:proofErr w:type="gramStart"/>
      <w:r>
        <w:rPr>
          <w:rFonts w:ascii="仿宋_GB2312" w:eastAsia="仿宋_GB2312" w:hint="eastAsia"/>
        </w:rPr>
        <w:t>园产业</w:t>
      </w:r>
      <w:proofErr w:type="gramEnd"/>
      <w:r>
        <w:rPr>
          <w:rFonts w:ascii="仿宋_GB2312" w:eastAsia="仿宋_GB2312" w:hint="eastAsia"/>
        </w:rPr>
        <w:t>特</w:t>
      </w:r>
      <w:r>
        <w:rPr>
          <w:rFonts w:ascii="仿宋_GB2312" w:eastAsia="仿宋_GB2312" w:hint="eastAsia"/>
        </w:rPr>
        <w:lastRenderedPageBreak/>
        <w:t>色和发展基础，立足承接科研成果转化，构建“西部滨水多产融合”“中部平原规模生产”“东部山地科研示范”的产业园组团，形成“专特精新”的产业“拓展区”。</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hint="eastAsia"/>
          <w:szCs w:val="32"/>
        </w:rPr>
        <w:t>主责部门：区科委（中关村延庆园管委会）</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hint="eastAsia"/>
          <w:szCs w:val="32"/>
        </w:rPr>
        <w:t>责任部门：区发展改革委、区农业农村局、区园林绿化局、市规划自然资源委延庆分局、</w:t>
      </w:r>
      <w:proofErr w:type="gramStart"/>
      <w:r>
        <w:rPr>
          <w:rStyle w:val="NormalCharacter"/>
          <w:rFonts w:ascii="仿宋_GB2312" w:eastAsia="仿宋_GB2312" w:hAnsi="仿宋" w:hint="eastAsia"/>
          <w:szCs w:val="32"/>
        </w:rPr>
        <w:t>世</w:t>
      </w:r>
      <w:proofErr w:type="gramEnd"/>
      <w:r>
        <w:rPr>
          <w:rStyle w:val="NormalCharacter"/>
          <w:rFonts w:ascii="仿宋_GB2312" w:eastAsia="仿宋_GB2312" w:hAnsi="仿宋" w:hint="eastAsia"/>
          <w:szCs w:val="32"/>
        </w:rPr>
        <w:t>园公司</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Style w:val="a7"/>
          <w:rFonts w:ascii="楷体_GB2312" w:eastAsia="楷体_GB2312"/>
        </w:rPr>
      </w:pPr>
      <w:r>
        <w:rPr>
          <w:rStyle w:val="a7"/>
          <w:rFonts w:ascii="楷体_GB2312" w:eastAsia="楷体_GB2312" w:hint="eastAsia"/>
        </w:rPr>
        <w:t>（二）实施三大创新工程，逐步构建高精尖结构</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bCs w:val="0"/>
        </w:rPr>
      </w:pPr>
      <w:r>
        <w:rPr>
          <w:rFonts w:ascii="仿宋_GB2312" w:eastAsia="仿宋_GB2312" w:hint="eastAsia"/>
          <w:bCs w:val="0"/>
        </w:rPr>
        <w:t>2.创新能力提升工程</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Style w:val="a7"/>
          <w:rFonts w:ascii="仿宋_GB2312"/>
        </w:rPr>
      </w:pPr>
      <w:r>
        <w:rPr>
          <w:rStyle w:val="a7"/>
          <w:rFonts w:ascii="仿宋_GB2312" w:hint="eastAsia"/>
        </w:rPr>
        <w:t>搭建园艺科技创新平台，支持企业、高校院所主动申报承担国家及市级重点园艺科研任务和重点项目；支持各个创新主体间开展合作共建，</w:t>
      </w:r>
      <w:r>
        <w:rPr>
          <w:rFonts w:ascii="仿宋_GB2312" w:eastAsia="仿宋_GB2312" w:hint="eastAsia"/>
          <w:szCs w:val="32"/>
        </w:rPr>
        <w:t>建设覆盖生产到消费、研发到市场各个环节，覆盖技术开发、技术熟化集成到生产示范推广创新全过程，形成紧密衔接、环环相扣的现代园艺产业创新链条，探索产学研协同创新、大中小企业融合创新模式；</w:t>
      </w:r>
      <w:r>
        <w:rPr>
          <w:rStyle w:val="a7"/>
          <w:rFonts w:ascii="仿宋_GB2312" w:hint="eastAsia"/>
        </w:rPr>
        <w:t>支持利用基因工程等现代生物技术，进行现代园艺品种创新，开展特色新优园艺植物品种研发培育，加快建设一批种质资源保存库和良种生产基地；支持产业园应用设施化生产等现代农业生产方式，加速推进现代园艺产业管理智能化、设备现代化、作业机械化。支持园艺及相关领域专家为产业提供科技支撑。</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hint="eastAsia"/>
          <w:szCs w:val="32"/>
        </w:rPr>
        <w:t>主责部门：区科委（中关村延庆园管委会）</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Style w:val="a7"/>
          <w:rFonts w:ascii="仿宋_GB2312"/>
          <w:szCs w:val="32"/>
        </w:rPr>
      </w:pPr>
      <w:r>
        <w:rPr>
          <w:rFonts w:ascii="仿宋_GB2312" w:eastAsia="仿宋_GB2312" w:hint="eastAsia"/>
          <w:szCs w:val="32"/>
        </w:rPr>
        <w:t>责任部门：区农业农村局、区园林绿化局、区科协</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b/>
        </w:rPr>
      </w:pPr>
      <w:r>
        <w:rPr>
          <w:rFonts w:ascii="仿宋_GB2312" w:eastAsia="仿宋_GB2312" w:hint="eastAsia"/>
          <w:bCs w:val="0"/>
        </w:rPr>
        <w:t>3.创新要素集聚工程</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hint="eastAsia"/>
          <w:szCs w:val="32"/>
        </w:rPr>
        <w:t>发挥好中关村现代园艺产业创新中心平台作用，统筹产</w:t>
      </w:r>
      <w:r>
        <w:rPr>
          <w:rFonts w:ascii="仿宋_GB2312" w:eastAsia="仿宋_GB2312" w:hint="eastAsia"/>
          <w:szCs w:val="32"/>
        </w:rPr>
        <w:lastRenderedPageBreak/>
        <w:t>业链、创新链、资金链、政策链上相关高端要素，利用好中关村及延庆区利好政策，依托中国花卉协会建立“中国花卉发展中心”，依托国际竹</w:t>
      </w:r>
      <w:proofErr w:type="gramStart"/>
      <w:r>
        <w:rPr>
          <w:rFonts w:ascii="仿宋_GB2312" w:eastAsia="仿宋_GB2312" w:hint="eastAsia"/>
          <w:szCs w:val="32"/>
        </w:rPr>
        <w:t>藤中心</w:t>
      </w:r>
      <w:proofErr w:type="gramEnd"/>
      <w:r>
        <w:rPr>
          <w:rFonts w:ascii="仿宋_GB2312" w:eastAsia="仿宋_GB2312" w:hint="eastAsia"/>
          <w:szCs w:val="32"/>
        </w:rPr>
        <w:t>建立“国际竹藤中心延庆研发基地”。加快创新要素和创新主体集聚，吸引高端科研团队、高科技型企业、高精尖人才等入驻，形成全国园艺产业高端要素集聚平台。推动形成人才、技术、资本“新三驾马车”，打造现代园艺产业高质量发展的重要“驱动器”和“辐射源”；建立企业与高校院所、行业</w:t>
      </w:r>
      <w:r>
        <w:rPr>
          <w:rFonts w:ascii="仿宋_GB2312" w:eastAsia="仿宋_GB2312" w:hint="eastAsia"/>
          <w:spacing w:val="-6"/>
          <w:szCs w:val="32"/>
        </w:rPr>
        <w:t>组织的定向交流机制，促进产学研用深度融合，积极营造创新生态。</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hint="eastAsia"/>
          <w:szCs w:val="32"/>
        </w:rPr>
        <w:t>主责部门：区科委（中关村延庆园管委会）</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hint="eastAsia"/>
          <w:szCs w:val="32"/>
        </w:rPr>
        <w:t>责任部门：区农业农村局、区园林绿化局、区发展改革委、区委组织部、区人力资源社会保障局</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bCs w:val="0"/>
        </w:rPr>
      </w:pPr>
      <w:r>
        <w:rPr>
          <w:rFonts w:ascii="仿宋_GB2312" w:eastAsia="仿宋_GB2312" w:hint="eastAsia"/>
          <w:bCs w:val="0"/>
        </w:rPr>
        <w:t>4.创新成果转化工程</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rPr>
      </w:pPr>
      <w:r>
        <w:rPr>
          <w:rFonts w:ascii="仿宋_GB2312" w:eastAsia="仿宋_GB2312" w:hint="eastAsia"/>
          <w:szCs w:val="32"/>
        </w:rPr>
        <w:t>充分发挥中国农业科学院、北京林业大学等高校院所科研创新资源优势，发挥政府推广部门和科技型企业、市场科技中介的技术服务优势，搭建开放共建、资源共享的科技成果交易体系，构建“线上+线下”相结合的科技成果转化服务综合体，促进园艺新品种、新技术就地转化。建立起一批冷凉花卉科研生产示范基地、球宿根花卉科研生产示范基地、有机蔬菜科研生产示范基地、绿色有机果品栽培示范基地等，</w:t>
      </w:r>
      <w:r>
        <w:rPr>
          <w:rFonts w:ascii="仿宋_GB2312" w:eastAsia="仿宋_GB2312" w:hint="eastAsia"/>
        </w:rPr>
        <w:t>支持主题鲜明、科技含量高、创新能力强、辐射带动好的科技小院建设。</w:t>
      </w:r>
      <w:r>
        <w:rPr>
          <w:rFonts w:ascii="仿宋_GB2312" w:eastAsia="仿宋_GB2312" w:hint="eastAsia"/>
          <w:szCs w:val="32"/>
        </w:rPr>
        <w:t>打通现代园艺科技成果转化应用的“最后一公里”。</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hint="eastAsia"/>
          <w:szCs w:val="32"/>
        </w:rPr>
        <w:t>主责部门：区农业农村局</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hint="eastAsia"/>
          <w:szCs w:val="32"/>
        </w:rPr>
        <w:lastRenderedPageBreak/>
        <w:t>责任部门：区园林绿化局、区科委（中关村延庆园管委会）、各相关乡镇</w:t>
      </w:r>
    </w:p>
    <w:p w:rsidR="008A60C7" w:rsidRDefault="008A60C7" w:rsidP="008A60C7">
      <w:pPr>
        <w:pStyle w:val="a5"/>
        <w:widowControl w:val="0"/>
        <w:numPr>
          <w:ilvl w:val="0"/>
          <w:numId w:val="1"/>
        </w:numPr>
        <w:adjustRightInd w:val="0"/>
        <w:snapToGrid w:val="0"/>
        <w:spacing w:before="0" w:beforeAutospacing="0" w:after="0" w:afterAutospacing="0" w:line="560" w:lineRule="exact"/>
        <w:ind w:firstLineChars="200" w:firstLine="640"/>
        <w:jc w:val="both"/>
        <w:rPr>
          <w:rFonts w:ascii="楷体_GB2312" w:eastAsia="楷体_GB2312"/>
        </w:rPr>
      </w:pPr>
      <w:proofErr w:type="gramStart"/>
      <w:r>
        <w:rPr>
          <w:rFonts w:ascii="楷体_GB2312" w:eastAsia="楷体_GB2312" w:hint="eastAsia"/>
        </w:rPr>
        <w:t>构建六</w:t>
      </w:r>
      <w:proofErr w:type="gramEnd"/>
      <w:r>
        <w:rPr>
          <w:rFonts w:ascii="楷体_GB2312" w:eastAsia="楷体_GB2312" w:hint="eastAsia"/>
        </w:rPr>
        <w:t>大服务平台，切实提升服务能级</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bCs w:val="0"/>
        </w:rPr>
      </w:pPr>
      <w:r>
        <w:rPr>
          <w:rFonts w:ascii="仿宋_GB2312" w:eastAsia="仿宋_GB2312" w:hint="eastAsia"/>
          <w:bCs w:val="0"/>
        </w:rPr>
        <w:t>5.构建公共技术服务平台</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hint="eastAsia"/>
          <w:szCs w:val="32"/>
        </w:rPr>
        <w:t>引导以企业为主体，联合高校院所以及科技中介机构，采取“院所+政府”“企业+院所”及“企业自建共建”等多种模式，通过整合、集成、优化科技资源，为企业、高校院所创新创业提供服务，建立繁育中心、种质资源库、综合实验室等公共技术服务平台，进行现代园艺关键共性技术等研发，提升科技创新能力。</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hint="eastAsia"/>
          <w:szCs w:val="32"/>
        </w:rPr>
        <w:t>主责部门：区科委（中关村延庆园管委会）</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hint="eastAsia"/>
          <w:szCs w:val="32"/>
        </w:rPr>
        <w:t>责任部门：区农业农村局、区园林绿化局</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b/>
        </w:rPr>
      </w:pPr>
      <w:r>
        <w:rPr>
          <w:rFonts w:ascii="仿宋_GB2312" w:eastAsia="仿宋_GB2312" w:hint="eastAsia"/>
          <w:bCs w:val="0"/>
        </w:rPr>
        <w:t>6.构建产权交易服务平台</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hint="eastAsia"/>
          <w:szCs w:val="32"/>
        </w:rPr>
        <w:t>积极引导植物新品种权保护管理等产权服务类企业集聚，支持企业主体通过市场化方式建立新品种产权交易平台，协助供需双方对接，提供知识产权申报、品种</w:t>
      </w:r>
      <w:proofErr w:type="gramStart"/>
      <w:r>
        <w:rPr>
          <w:rFonts w:ascii="仿宋_GB2312" w:eastAsia="仿宋_GB2312" w:hint="eastAsia"/>
          <w:szCs w:val="32"/>
        </w:rPr>
        <w:t>权价值</w:t>
      </w:r>
      <w:proofErr w:type="gramEnd"/>
      <w:r>
        <w:rPr>
          <w:rFonts w:ascii="仿宋_GB2312" w:eastAsia="仿宋_GB2312" w:hint="eastAsia"/>
          <w:szCs w:val="32"/>
        </w:rPr>
        <w:t>评估、品种供求信息资讯、品种权交易、交易行为</w:t>
      </w:r>
      <w:proofErr w:type="gramStart"/>
      <w:r>
        <w:rPr>
          <w:rFonts w:ascii="仿宋_GB2312" w:eastAsia="仿宋_GB2312" w:hint="eastAsia"/>
          <w:szCs w:val="32"/>
        </w:rPr>
        <w:t>鉴证</w:t>
      </w:r>
      <w:proofErr w:type="gramEnd"/>
      <w:r>
        <w:rPr>
          <w:rFonts w:ascii="仿宋_GB2312" w:eastAsia="仿宋_GB2312" w:hint="eastAsia"/>
          <w:szCs w:val="32"/>
        </w:rPr>
        <w:t>等服务，形成价格规范，实现公平竞争，打造园艺科技成果交易推广的示范窗口。</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hint="eastAsia"/>
          <w:szCs w:val="32"/>
        </w:rPr>
        <w:t>主责部门：区园林绿化局</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hint="eastAsia"/>
          <w:szCs w:val="32"/>
        </w:rPr>
        <w:t>责任部门：区农业农村局、区科委（中关村延庆园管委会）、区市场监管局、区司法局</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b/>
        </w:rPr>
      </w:pPr>
      <w:r>
        <w:rPr>
          <w:rFonts w:ascii="仿宋_GB2312" w:eastAsia="仿宋_GB2312" w:hint="eastAsia"/>
          <w:bCs w:val="0"/>
        </w:rPr>
        <w:t>7.构建科技金融平台</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hint="eastAsia"/>
          <w:szCs w:val="32"/>
        </w:rPr>
        <w:t>加强与金融机构的合作，及时为有需求的现代园艺企业</w:t>
      </w:r>
      <w:r>
        <w:rPr>
          <w:rFonts w:ascii="仿宋_GB2312" w:eastAsia="仿宋_GB2312" w:hint="eastAsia"/>
          <w:szCs w:val="32"/>
        </w:rPr>
        <w:lastRenderedPageBreak/>
        <w:t>提供金融资源对接，帮助其通过银行、证券公司、风险投资、产业基金、信用平台、融资租赁公司等多种渠道进行融资。</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hint="eastAsia"/>
          <w:szCs w:val="32"/>
        </w:rPr>
        <w:t xml:space="preserve">主责部门：区发展改革委 </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hint="eastAsia"/>
          <w:szCs w:val="32"/>
        </w:rPr>
        <w:t>责任部门：区科委（中关村延庆园管委会）</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b/>
        </w:rPr>
      </w:pPr>
      <w:r>
        <w:rPr>
          <w:rFonts w:ascii="仿宋_GB2312" w:eastAsia="仿宋_GB2312" w:hint="eastAsia"/>
          <w:bCs w:val="0"/>
        </w:rPr>
        <w:t>8.构建市场对接平台</w:t>
      </w:r>
    </w:p>
    <w:p w:rsidR="008A60C7" w:rsidRDefault="008A60C7" w:rsidP="008A60C7">
      <w:pPr>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政府协助企业搭建新品种、新技术、新产品市场对接平台，围绕生态环境修复、景观提升、城市绿化美化、美丽乡村建设等领域，加强应用场景建设和示范工程，推动一批新品种、新技术、新产品，在服务城市运行发展中率先示范应用。落实乡村振兴战略，发挥市科委和中关村政策资源优势，积极开展产业服务和推广，加大新产品新技术应用场景建设。</w:t>
      </w:r>
    </w:p>
    <w:p w:rsidR="008A60C7" w:rsidRDefault="008A60C7" w:rsidP="008A60C7">
      <w:pPr>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主责部门：区农业农村局</w:t>
      </w:r>
    </w:p>
    <w:p w:rsidR="008A60C7" w:rsidRDefault="008A60C7" w:rsidP="008A60C7">
      <w:pPr>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责任部门：区园林绿化局、区城市管理委、延庆公路分局、区科委（中关村延庆园管委会）</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bCs w:val="0"/>
        </w:rPr>
      </w:pPr>
      <w:r>
        <w:rPr>
          <w:rFonts w:ascii="仿宋_GB2312" w:eastAsia="仿宋_GB2312" w:hint="eastAsia"/>
          <w:bCs w:val="0"/>
        </w:rPr>
        <w:t>9.构建政务服务平台</w:t>
      </w:r>
    </w:p>
    <w:p w:rsidR="008A60C7" w:rsidRDefault="008A60C7" w:rsidP="008A60C7">
      <w:pPr>
        <w:adjustRightInd w:val="0"/>
        <w:snapToGrid w:val="0"/>
        <w:spacing w:line="560" w:lineRule="exact"/>
        <w:ind w:firstLineChars="200" w:firstLine="640"/>
        <w:rPr>
          <w:rFonts w:ascii="仿宋_GB2312" w:eastAsia="仿宋_GB2312"/>
          <w:sz w:val="32"/>
          <w:szCs w:val="32"/>
        </w:rPr>
      </w:pPr>
      <w:r>
        <w:rPr>
          <w:rFonts w:ascii="仿宋_GB2312" w:eastAsia="仿宋_GB2312" w:hAnsi="黑体" w:hint="eastAsia"/>
          <w:sz w:val="32"/>
          <w:szCs w:val="32"/>
        </w:rPr>
        <w:t>围绕服务企业落地发展和中小型企业创新创业，打造便利优质的政务环境，以“办好一件事”为标准，持续深化“一网、一窗、一门、一次”改革，政府服务事项实现全程网上办。围绕减环节、减时间、提效率，简化项目审批程序，开辟绿色服务通道。及时主动跟进服务企业，</w:t>
      </w:r>
      <w:r>
        <w:rPr>
          <w:rFonts w:ascii="仿宋_GB2312" w:eastAsia="仿宋_GB2312" w:hint="eastAsia"/>
          <w:sz w:val="32"/>
          <w:szCs w:val="32"/>
        </w:rPr>
        <w:t>搭建诉求集中反映平台，提升企业满意度和群众获得感。</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hint="eastAsia"/>
          <w:szCs w:val="32"/>
        </w:rPr>
        <w:t>主责部门：区政务服务局</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hint="eastAsia"/>
          <w:szCs w:val="32"/>
        </w:rPr>
        <w:t>责任部门：区发展改革委、区城市服务管理指挥中心、区经济和信息化局</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bCs w:val="0"/>
        </w:rPr>
      </w:pPr>
      <w:r>
        <w:rPr>
          <w:rFonts w:ascii="仿宋_GB2312" w:eastAsia="仿宋_GB2312" w:hint="eastAsia"/>
          <w:bCs w:val="0"/>
        </w:rPr>
        <w:lastRenderedPageBreak/>
        <w:t>10.构建人才培训平台</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hAnsi="黑体"/>
          <w:szCs w:val="32"/>
        </w:rPr>
      </w:pPr>
      <w:r>
        <w:rPr>
          <w:rFonts w:ascii="仿宋_GB2312" w:eastAsia="仿宋_GB2312" w:hint="eastAsia"/>
        </w:rPr>
        <w:t>支持职业院校与行业组织、科研院所及企业合作，建立花卉行业培训交流平台，加大智慧园艺、信息技术等实用人才培训；针对在</w:t>
      </w:r>
      <w:proofErr w:type="gramStart"/>
      <w:r>
        <w:rPr>
          <w:rFonts w:ascii="仿宋_GB2312" w:eastAsia="仿宋_GB2312" w:hint="eastAsia"/>
        </w:rPr>
        <w:t>延具有</w:t>
      </w:r>
      <w:proofErr w:type="gramEnd"/>
      <w:r>
        <w:rPr>
          <w:rFonts w:ascii="仿宋_GB2312" w:eastAsia="仿宋_GB2312" w:hint="eastAsia"/>
        </w:rPr>
        <w:t>影响力企业的高管，开展靶向引进，优先在住房、教育等方面给予支持；加大回乡青年园艺创新创业支持力度；支持产业园与企业合作，建设园艺人才实训基地；加强本地新型职业农民培</w:t>
      </w:r>
      <w:r>
        <w:rPr>
          <w:rFonts w:ascii="仿宋_GB2312" w:eastAsia="仿宋_GB2312" w:hAnsi="黑体" w:hint="eastAsia"/>
          <w:szCs w:val="32"/>
        </w:rPr>
        <w:t>训。对吸纳本地劳动力的企业，按照相关政策给予支持。</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hAnsi="黑体"/>
          <w:szCs w:val="32"/>
        </w:rPr>
      </w:pPr>
      <w:r>
        <w:rPr>
          <w:rFonts w:ascii="仿宋_GB2312" w:eastAsia="仿宋_GB2312" w:hAnsi="黑体" w:hint="eastAsia"/>
          <w:szCs w:val="32"/>
        </w:rPr>
        <w:t>主责部门：</w:t>
      </w:r>
      <w:r>
        <w:rPr>
          <w:rFonts w:ascii="仿宋_GB2312" w:eastAsia="仿宋_GB2312" w:hint="eastAsia"/>
          <w:szCs w:val="32"/>
        </w:rPr>
        <w:t>区</w:t>
      </w:r>
      <w:r>
        <w:rPr>
          <w:rFonts w:ascii="仿宋_GB2312" w:eastAsia="仿宋_GB2312" w:hAnsi="黑体" w:hint="eastAsia"/>
          <w:szCs w:val="32"/>
        </w:rPr>
        <w:t>人力资源社会保障局</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rPr>
      </w:pPr>
      <w:r>
        <w:rPr>
          <w:rFonts w:ascii="仿宋_GB2312" w:eastAsia="仿宋_GB2312" w:hAnsi="黑体" w:hint="eastAsia"/>
          <w:szCs w:val="32"/>
        </w:rPr>
        <w:t>责任部门：区教</w:t>
      </w:r>
      <w:r>
        <w:rPr>
          <w:rFonts w:ascii="仿宋_GB2312" w:eastAsia="仿宋_GB2312" w:hint="eastAsia"/>
        </w:rPr>
        <w:t>委、</w:t>
      </w:r>
      <w:r>
        <w:rPr>
          <w:rFonts w:ascii="仿宋_GB2312" w:eastAsia="仿宋_GB2312" w:hAnsi="黑体" w:hint="eastAsia"/>
          <w:szCs w:val="32"/>
        </w:rPr>
        <w:t>区委组织部、</w:t>
      </w:r>
      <w:r>
        <w:rPr>
          <w:rFonts w:ascii="仿宋_GB2312" w:eastAsia="仿宋_GB2312" w:hint="eastAsia"/>
          <w:szCs w:val="32"/>
        </w:rPr>
        <w:t>区农业农村局、区园林绿化局、区科委（中关村延庆园管委会）</w:t>
      </w:r>
    </w:p>
    <w:p w:rsidR="008A60C7" w:rsidRDefault="008A60C7" w:rsidP="008A60C7">
      <w:pPr>
        <w:pStyle w:val="a5"/>
        <w:widowControl w:val="0"/>
        <w:numPr>
          <w:ilvl w:val="0"/>
          <w:numId w:val="1"/>
        </w:numPr>
        <w:adjustRightInd w:val="0"/>
        <w:snapToGrid w:val="0"/>
        <w:spacing w:before="0" w:beforeAutospacing="0" w:after="0" w:afterAutospacing="0" w:line="560" w:lineRule="exact"/>
        <w:ind w:firstLineChars="200" w:firstLine="640"/>
        <w:jc w:val="both"/>
        <w:rPr>
          <w:rFonts w:ascii="楷体_GB2312" w:eastAsia="楷体_GB2312"/>
        </w:rPr>
      </w:pPr>
      <w:r>
        <w:rPr>
          <w:rFonts w:ascii="楷体_GB2312" w:eastAsia="楷体_GB2312" w:hint="eastAsia"/>
        </w:rPr>
        <w:t>优化“一区多园”布局，不断完善产业格局</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b/>
        </w:rPr>
      </w:pPr>
      <w:r>
        <w:rPr>
          <w:rFonts w:ascii="仿宋_GB2312" w:eastAsia="仿宋_GB2312" w:hint="eastAsia"/>
          <w:bCs w:val="0"/>
        </w:rPr>
        <w:t>11.打造“科研会展”核心区</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hint="eastAsia"/>
          <w:szCs w:val="32"/>
        </w:rPr>
        <w:t>健全</w:t>
      </w:r>
      <w:proofErr w:type="gramStart"/>
      <w:r>
        <w:rPr>
          <w:rFonts w:ascii="仿宋_GB2312" w:eastAsia="仿宋_GB2312" w:hint="eastAsia"/>
          <w:szCs w:val="32"/>
        </w:rPr>
        <w:t>世</w:t>
      </w:r>
      <w:proofErr w:type="gramEnd"/>
      <w:r>
        <w:rPr>
          <w:rFonts w:ascii="仿宋_GB2312" w:eastAsia="仿宋_GB2312" w:hint="eastAsia"/>
          <w:szCs w:val="32"/>
        </w:rPr>
        <w:t>园会园区后续利用内外协作机制，发挥好</w:t>
      </w:r>
      <w:proofErr w:type="gramStart"/>
      <w:r>
        <w:rPr>
          <w:rFonts w:ascii="仿宋_GB2312" w:eastAsia="仿宋_GB2312" w:hint="eastAsia"/>
          <w:szCs w:val="32"/>
        </w:rPr>
        <w:t>世</w:t>
      </w:r>
      <w:proofErr w:type="gramEnd"/>
      <w:r>
        <w:rPr>
          <w:rFonts w:ascii="仿宋_GB2312" w:eastAsia="仿宋_GB2312" w:hint="eastAsia"/>
          <w:szCs w:val="32"/>
        </w:rPr>
        <w:t>园会园区优质资源，用好园艺产业发展带等产业空间，支持园区加快现代园艺科技型企业、细分领域龙头企业的引入集聚，延续</w:t>
      </w:r>
      <w:proofErr w:type="gramStart"/>
      <w:r>
        <w:rPr>
          <w:rFonts w:ascii="仿宋_GB2312" w:eastAsia="仿宋_GB2312" w:hint="eastAsia"/>
          <w:szCs w:val="32"/>
        </w:rPr>
        <w:t>世</w:t>
      </w:r>
      <w:proofErr w:type="gramEnd"/>
      <w:r>
        <w:rPr>
          <w:rFonts w:ascii="仿宋_GB2312" w:eastAsia="仿宋_GB2312" w:hint="eastAsia"/>
          <w:szCs w:val="32"/>
        </w:rPr>
        <w:t>园会带动产业发展热度。支持“北京（国际）花园节”等品牌展会活动持续举办，搭建全国花卉展会、交流活动平台，全力建设现代园艺企业集聚、科技成果示范转化、</w:t>
      </w:r>
      <w:proofErr w:type="gramStart"/>
      <w:r>
        <w:rPr>
          <w:rFonts w:ascii="仿宋_GB2312" w:eastAsia="仿宋_GB2312" w:hint="eastAsia"/>
          <w:szCs w:val="32"/>
        </w:rPr>
        <w:t>世园产业</w:t>
      </w:r>
      <w:proofErr w:type="gramEnd"/>
      <w:r>
        <w:rPr>
          <w:rFonts w:ascii="仿宋_GB2312" w:eastAsia="仿宋_GB2312" w:hint="eastAsia"/>
          <w:szCs w:val="32"/>
        </w:rPr>
        <w:t>IP品牌运营的产业核心功能区，为建设“现代园艺科技创新中心”“现代园艺国际交往中心”“现代园艺文化交流中心”提供支撑。</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hint="eastAsia"/>
          <w:szCs w:val="32"/>
        </w:rPr>
        <w:t>主责部门：区科委（中关村延庆园管委会）</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hint="eastAsia"/>
          <w:szCs w:val="32"/>
        </w:rPr>
        <w:t>责任部门：区发展改革委、区文化和旅游局、区农业农</w:t>
      </w:r>
      <w:r>
        <w:rPr>
          <w:rFonts w:ascii="仿宋_GB2312" w:eastAsia="仿宋_GB2312" w:hint="eastAsia"/>
          <w:szCs w:val="32"/>
        </w:rPr>
        <w:lastRenderedPageBreak/>
        <w:t>村局、区园林绿化局、</w:t>
      </w:r>
      <w:proofErr w:type="gramStart"/>
      <w:r>
        <w:rPr>
          <w:rStyle w:val="NormalCharacter"/>
          <w:rFonts w:ascii="仿宋_GB2312" w:eastAsia="仿宋_GB2312" w:hAnsi="仿宋" w:hint="eastAsia"/>
          <w:szCs w:val="32"/>
        </w:rPr>
        <w:t>世</w:t>
      </w:r>
      <w:proofErr w:type="gramEnd"/>
      <w:r>
        <w:rPr>
          <w:rStyle w:val="NormalCharacter"/>
          <w:rFonts w:ascii="仿宋_GB2312" w:eastAsia="仿宋_GB2312" w:hAnsi="仿宋" w:hint="eastAsia"/>
          <w:szCs w:val="32"/>
        </w:rPr>
        <w:t>园公司</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bCs w:val="0"/>
        </w:rPr>
      </w:pPr>
      <w:r>
        <w:rPr>
          <w:rFonts w:ascii="仿宋_GB2312" w:eastAsia="仿宋_GB2312" w:hint="eastAsia"/>
          <w:bCs w:val="0"/>
        </w:rPr>
        <w:t>12.培育“专精特新”产业园</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hint="eastAsia"/>
          <w:szCs w:val="32"/>
        </w:rPr>
        <w:t>依托延庆自然资源禀赋，在“一区多园”布局基础上，根据产业园优势，支持产业园与企业、高校院所合作，承接高校院所、企业科研成果转化，承接重点园艺项目落地，主动承接</w:t>
      </w:r>
      <w:proofErr w:type="gramStart"/>
      <w:r>
        <w:rPr>
          <w:rFonts w:ascii="仿宋_GB2312" w:eastAsia="仿宋_GB2312" w:hint="eastAsia"/>
          <w:szCs w:val="32"/>
        </w:rPr>
        <w:t>世</w:t>
      </w:r>
      <w:proofErr w:type="gramEnd"/>
      <w:r>
        <w:rPr>
          <w:rFonts w:ascii="仿宋_GB2312" w:eastAsia="仿宋_GB2312" w:hint="eastAsia"/>
          <w:szCs w:val="32"/>
        </w:rPr>
        <w:t>园会园区外溢效应，逐步形成“西部滨水多产融合”“中部平原规模生产”“东部山地科研示范”格局，打造一批专业化、精品化、特色化、创新型的产业园，形成各具特色、优势突出、错位发展的产业格局，走出一条高端化、差异化、特色化的发展道路。</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hint="eastAsia"/>
          <w:szCs w:val="32"/>
        </w:rPr>
        <w:t>主责部门：区农业农村局</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hint="eastAsia"/>
          <w:szCs w:val="32"/>
        </w:rPr>
        <w:t>责任部门：区园林绿化局、区科委（中关村延庆园管委会）、区文化和旅游局、市规划自然资源委延庆分局、各相关乡镇</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楷体_GB2312" w:eastAsia="楷体_GB2312"/>
        </w:rPr>
      </w:pPr>
      <w:r>
        <w:rPr>
          <w:rFonts w:ascii="楷体_GB2312" w:eastAsia="楷体_GB2312" w:hint="eastAsia"/>
        </w:rPr>
        <w:t>（五）深化改革，完善产业发展的体制机制</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b/>
        </w:rPr>
      </w:pPr>
      <w:r>
        <w:rPr>
          <w:rFonts w:ascii="仿宋_GB2312" w:eastAsia="仿宋_GB2312" w:hint="eastAsia"/>
          <w:bCs w:val="0"/>
        </w:rPr>
        <w:t>13.强力整合各方资源</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hint="eastAsia"/>
          <w:szCs w:val="32"/>
        </w:rPr>
        <w:t>持续聚焦现代园艺产业发展，举全区之力，上下联动、条块结合，形成齐抓共管的工作局面。发挥部门合力，分工明确、各司其职，建立衔接紧密的工作机制。强力整合政策、土地、资金、人才、技术等资源，加大政策体制创新力度，继续加强对现代园艺产业发展和中关村现代园艺产业创新中心建设的支持。</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hint="eastAsia"/>
          <w:szCs w:val="32"/>
        </w:rPr>
        <w:t>主责部门：区发展改革委</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hint="eastAsia"/>
          <w:szCs w:val="32"/>
        </w:rPr>
        <w:t>责任部门：区科委（中关村延庆园管委会）、区委组织</w:t>
      </w:r>
      <w:r>
        <w:rPr>
          <w:rFonts w:ascii="仿宋_GB2312" w:eastAsia="仿宋_GB2312" w:hint="eastAsia"/>
          <w:szCs w:val="32"/>
        </w:rPr>
        <w:lastRenderedPageBreak/>
        <w:t xml:space="preserve">部、区财政局、区人力资源社会保障局、区农业农村局、区园林绿化局、区经济和信息化局、市规划自然资源委延庆分局   </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b/>
        </w:rPr>
      </w:pPr>
      <w:r>
        <w:rPr>
          <w:rFonts w:ascii="仿宋_GB2312" w:eastAsia="仿宋_GB2312" w:hint="eastAsia"/>
          <w:bCs w:val="0"/>
        </w:rPr>
        <w:t>14.完善重点项目服务机制</w:t>
      </w:r>
    </w:p>
    <w:p w:rsidR="008A60C7" w:rsidRDefault="008A60C7" w:rsidP="008A60C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针对重点项目、重点企业，</w:t>
      </w:r>
      <w:r>
        <w:rPr>
          <w:rFonts w:ascii="仿宋_GB2312" w:eastAsia="仿宋_GB2312" w:hAnsi="黑体" w:hint="eastAsia"/>
          <w:sz w:val="32"/>
          <w:szCs w:val="32"/>
        </w:rPr>
        <w:t>建立闭环服务机制，</w:t>
      </w:r>
      <w:r>
        <w:rPr>
          <w:rFonts w:ascii="仿宋_GB2312" w:eastAsia="仿宋_GB2312" w:hint="eastAsia"/>
          <w:sz w:val="32"/>
          <w:szCs w:val="32"/>
        </w:rPr>
        <w:t>加大项目用地、项目前期投资等重点难点问题协调解决力度。</w:t>
      </w:r>
      <w:r>
        <w:rPr>
          <w:rFonts w:ascii="仿宋_GB2312" w:eastAsia="仿宋_GB2312" w:hAnsi="黑体" w:hint="eastAsia"/>
          <w:sz w:val="32"/>
          <w:szCs w:val="32"/>
        </w:rPr>
        <w:t>坚持走访企业</w:t>
      </w:r>
      <w:r>
        <w:rPr>
          <w:rFonts w:ascii="仿宋_GB2312" w:eastAsia="仿宋_GB2312" w:hint="eastAsia"/>
          <w:sz w:val="32"/>
          <w:szCs w:val="32"/>
        </w:rPr>
        <w:t>“上门问需”，</w:t>
      </w:r>
      <w:r>
        <w:rPr>
          <w:rFonts w:ascii="仿宋_GB2312" w:eastAsia="仿宋_GB2312" w:hAnsi="黑体" w:hint="eastAsia"/>
          <w:sz w:val="32"/>
          <w:szCs w:val="32"/>
        </w:rPr>
        <w:t>深化落实“服务包”“服务管家”制度，对企业各项发展需求，</w:t>
      </w:r>
      <w:r>
        <w:rPr>
          <w:rFonts w:ascii="仿宋_GB2312" w:eastAsia="仿宋_GB2312" w:hint="eastAsia"/>
          <w:sz w:val="32"/>
          <w:szCs w:val="32"/>
        </w:rPr>
        <w:t>做好协调解决和跟踪服务，提供全生命周期管理，营造良好的产业发展环境。</w:t>
      </w:r>
    </w:p>
    <w:p w:rsidR="008A60C7" w:rsidRDefault="008A60C7" w:rsidP="008A60C7">
      <w:pPr>
        <w:adjustRightInd w:val="0"/>
        <w:snapToGrid w:val="0"/>
        <w:spacing w:line="560" w:lineRule="exact"/>
        <w:ind w:firstLineChars="200" w:firstLine="640"/>
        <w:rPr>
          <w:rFonts w:ascii="仿宋_GB2312" w:eastAsia="仿宋_GB2312" w:hAnsiTheme="minorEastAsia" w:cstheme="minorEastAsia"/>
          <w:bCs/>
          <w:sz w:val="32"/>
          <w:szCs w:val="32"/>
        </w:rPr>
      </w:pPr>
      <w:r>
        <w:rPr>
          <w:rFonts w:ascii="仿宋_GB2312" w:eastAsia="仿宋_GB2312" w:hAnsiTheme="minorEastAsia" w:cstheme="minorEastAsia" w:hint="eastAsia"/>
          <w:bCs/>
          <w:sz w:val="32"/>
          <w:szCs w:val="32"/>
        </w:rPr>
        <w:t>主责部门：区科委（中关村延庆园管委会）、</w:t>
      </w:r>
    </w:p>
    <w:p w:rsidR="008A60C7" w:rsidRDefault="008A60C7" w:rsidP="008A60C7">
      <w:pPr>
        <w:adjustRightInd w:val="0"/>
        <w:snapToGrid w:val="0"/>
        <w:spacing w:line="560" w:lineRule="exact"/>
        <w:ind w:firstLineChars="200" w:firstLine="640"/>
        <w:rPr>
          <w:rFonts w:ascii="仿宋_GB2312" w:eastAsia="仿宋_GB2312" w:hAnsiTheme="minorEastAsia" w:cstheme="minorEastAsia"/>
          <w:bCs/>
          <w:sz w:val="32"/>
          <w:szCs w:val="32"/>
        </w:rPr>
      </w:pPr>
      <w:r>
        <w:rPr>
          <w:rFonts w:ascii="仿宋_GB2312" w:eastAsia="仿宋_GB2312" w:hAnsiTheme="minorEastAsia" w:cstheme="minorEastAsia" w:hint="eastAsia"/>
          <w:bCs/>
          <w:sz w:val="32"/>
          <w:szCs w:val="32"/>
        </w:rPr>
        <w:t>责任部门：区发展改革委、区财政局、区人力资源社会保障局、区农业农村局、区园林绿化局、市规划自然资源委延庆分局、各相关乡镇</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楷体_GB2312" w:eastAsia="楷体_GB2312"/>
        </w:rPr>
      </w:pPr>
      <w:r>
        <w:rPr>
          <w:rFonts w:ascii="仿宋_GB2312" w:eastAsia="仿宋_GB2312" w:hint="eastAsia"/>
          <w:bCs w:val="0"/>
        </w:rPr>
        <w:t>15.不断提升社会参与度</w:t>
      </w:r>
    </w:p>
    <w:p w:rsidR="008A60C7" w:rsidRDefault="008A60C7" w:rsidP="008A60C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吸引现代园艺产业、人工智能、现代生物等多领域专家、企业家、学者等参与中关村现代园艺产业创新中心建设发展，成立专家委员会，提供产业、项目发展评估。发挥联盟、商会和协会等产业组织行业引导作用，形成共同推进现代园艺产业的良好发展氛围。</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hint="eastAsia"/>
          <w:szCs w:val="32"/>
        </w:rPr>
        <w:t>主责部门：区科委（中关村延庆园管委会）</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hint="eastAsia"/>
          <w:szCs w:val="32"/>
        </w:rPr>
        <w:t>责任部门：区委组织部、区人力资源社会保障局、区农业农村局、区园林绿化局、区财政局</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pPr>
      <w:r>
        <w:rPr>
          <w:rFonts w:hint="eastAsia"/>
        </w:rPr>
        <w:t>五、保障措施</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楷体_GB2312" w:eastAsia="楷体_GB2312"/>
        </w:rPr>
      </w:pPr>
      <w:r>
        <w:rPr>
          <w:rFonts w:ascii="楷体_GB2312" w:eastAsia="楷体_GB2312" w:hint="eastAsia"/>
        </w:rPr>
        <w:t>（一）加强组织保障</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szCs w:val="32"/>
        </w:rPr>
        <w:lastRenderedPageBreak/>
        <w:t>建立</w:t>
      </w:r>
      <w:r>
        <w:rPr>
          <w:rFonts w:ascii="仿宋_GB2312" w:eastAsia="仿宋_GB2312" w:hint="eastAsia"/>
          <w:szCs w:val="32"/>
        </w:rPr>
        <w:t>健全园艺产业</w:t>
      </w:r>
      <w:r>
        <w:rPr>
          <w:rFonts w:ascii="仿宋_GB2312" w:eastAsia="仿宋_GB2312"/>
          <w:szCs w:val="32"/>
        </w:rPr>
        <w:t>联席</w:t>
      </w:r>
      <w:r>
        <w:rPr>
          <w:rFonts w:ascii="仿宋_GB2312" w:eastAsia="仿宋_GB2312" w:hint="eastAsia"/>
          <w:szCs w:val="32"/>
        </w:rPr>
        <w:t>会议</w:t>
      </w:r>
      <w:r>
        <w:rPr>
          <w:rFonts w:ascii="仿宋_GB2312" w:eastAsia="仿宋_GB2312"/>
          <w:szCs w:val="32"/>
        </w:rPr>
        <w:t>制度，定期召开会议</w:t>
      </w:r>
      <w:r>
        <w:rPr>
          <w:rFonts w:ascii="仿宋_GB2312" w:eastAsia="仿宋_GB2312" w:hint="eastAsia"/>
          <w:szCs w:val="32"/>
        </w:rPr>
        <w:t>，研究</w:t>
      </w:r>
      <w:r>
        <w:rPr>
          <w:rFonts w:ascii="仿宋_GB2312" w:eastAsia="仿宋_GB2312"/>
          <w:szCs w:val="32"/>
        </w:rPr>
        <w:t>创新中心年度工作目标</w:t>
      </w:r>
      <w:r>
        <w:rPr>
          <w:rFonts w:ascii="仿宋_GB2312" w:eastAsia="仿宋_GB2312" w:hint="eastAsia"/>
          <w:szCs w:val="32"/>
        </w:rPr>
        <w:t>、</w:t>
      </w:r>
      <w:r>
        <w:rPr>
          <w:rFonts w:ascii="仿宋_GB2312" w:eastAsia="仿宋_GB2312"/>
          <w:szCs w:val="32"/>
        </w:rPr>
        <w:t>重点任务，审议重大决策部署、重大项目建设、重大资金使用情况。</w:t>
      </w:r>
      <w:r>
        <w:rPr>
          <w:rFonts w:ascii="仿宋_GB2312" w:eastAsia="仿宋_GB2312" w:hint="eastAsia"/>
          <w:szCs w:val="32"/>
        </w:rPr>
        <w:t>联席会议</w:t>
      </w:r>
      <w:r>
        <w:rPr>
          <w:rFonts w:ascii="仿宋_GB2312" w:eastAsia="仿宋_GB2312"/>
          <w:szCs w:val="32"/>
        </w:rPr>
        <w:t>由主管园艺产业</w:t>
      </w:r>
      <w:r>
        <w:rPr>
          <w:rFonts w:ascii="仿宋_GB2312" w:eastAsia="仿宋_GB2312" w:hint="eastAsia"/>
          <w:szCs w:val="32"/>
        </w:rPr>
        <w:t>的区</w:t>
      </w:r>
      <w:r>
        <w:rPr>
          <w:rFonts w:ascii="仿宋_GB2312" w:eastAsia="仿宋_GB2312"/>
          <w:szCs w:val="32"/>
        </w:rPr>
        <w:t>领导牵头，各部门</w:t>
      </w:r>
      <w:r>
        <w:rPr>
          <w:rFonts w:ascii="仿宋_GB2312" w:eastAsia="仿宋_GB2312" w:hint="eastAsia"/>
          <w:szCs w:val="32"/>
        </w:rPr>
        <w:t>明确职责、</w:t>
      </w:r>
      <w:r>
        <w:rPr>
          <w:rFonts w:ascii="仿宋_GB2312" w:eastAsia="仿宋_GB2312"/>
          <w:szCs w:val="32"/>
        </w:rPr>
        <w:t>各司其职。</w:t>
      </w:r>
      <w:r>
        <w:rPr>
          <w:rFonts w:ascii="仿宋_GB2312" w:eastAsia="仿宋_GB2312" w:hint="eastAsia"/>
          <w:szCs w:val="32"/>
        </w:rPr>
        <w:t>举全区之力，整合资源，加快解决重大项目选址和落地协调问题，支持创新中心重点工作推进。</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楷体_GB2312" w:eastAsia="楷体_GB2312"/>
        </w:rPr>
      </w:pPr>
      <w:r>
        <w:rPr>
          <w:rFonts w:ascii="楷体_GB2312" w:eastAsia="楷体_GB2312" w:hint="eastAsia"/>
        </w:rPr>
        <w:t>（二）加大政策资金支持</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Style w:val="fontstyle01"/>
          <w:rFonts w:hint="default"/>
        </w:rPr>
      </w:pPr>
      <w:r>
        <w:rPr>
          <w:rStyle w:val="fontstyle01"/>
          <w:rFonts w:hint="default"/>
        </w:rPr>
        <w:t>充分利用好国家和北京市现行政策，发挥中关村管委会、延庆区合力，全面落实《关于促进中关村国家自主创新示范区现代园艺产业创新发展的若干措施》，加大支持力度。发挥好延庆科技创新基金等</w:t>
      </w:r>
      <w:proofErr w:type="gramStart"/>
      <w:r>
        <w:rPr>
          <w:rStyle w:val="fontstyle01"/>
          <w:rFonts w:hint="default"/>
        </w:rPr>
        <w:t>撬动作</w:t>
      </w:r>
      <w:proofErr w:type="gramEnd"/>
      <w:r>
        <w:rPr>
          <w:rStyle w:val="fontstyle01"/>
          <w:rFonts w:hint="default"/>
        </w:rPr>
        <w:t>用，鼓励天使投资、创业投资和新兴产业投资基金等社会资本加大投资支持。</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szCs w:val="21"/>
        </w:rPr>
      </w:pPr>
      <w:r>
        <w:rPr>
          <w:rFonts w:ascii="楷体_GB2312" w:eastAsia="楷体_GB2312" w:hint="eastAsia"/>
        </w:rPr>
        <w:t>（三）强化考核督导</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仿宋_GB2312" w:eastAsia="仿宋_GB2312"/>
          <w:szCs w:val="32"/>
        </w:rPr>
      </w:pPr>
      <w:r>
        <w:rPr>
          <w:rFonts w:ascii="仿宋_GB2312" w:eastAsia="仿宋_GB2312" w:hint="eastAsia"/>
          <w:szCs w:val="32"/>
        </w:rPr>
        <w:t>完善中关村现代园艺产业创新中心发展评价指标，对各部门推动创新中心建设、现代园艺产业发展情况进行评价考核。开展</w:t>
      </w:r>
      <w:r>
        <w:rPr>
          <w:rFonts w:ascii="仿宋_GB2312" w:eastAsia="仿宋_GB2312" w:hint="eastAsia"/>
          <w:spacing w:val="-6"/>
          <w:szCs w:val="32"/>
        </w:rPr>
        <w:t>专项督查，建立工作台账，强化结果运用，推动各项措施落到实处。</w:t>
      </w:r>
    </w:p>
    <w:p w:rsidR="008A60C7" w:rsidRDefault="008A60C7" w:rsidP="008A60C7">
      <w:pPr>
        <w:pStyle w:val="a5"/>
        <w:widowControl w:val="0"/>
        <w:adjustRightInd w:val="0"/>
        <w:snapToGrid w:val="0"/>
        <w:spacing w:before="0" w:beforeAutospacing="0" w:after="0" w:afterAutospacing="0" w:line="560" w:lineRule="exact"/>
        <w:ind w:firstLineChars="200" w:firstLine="640"/>
        <w:jc w:val="both"/>
        <w:rPr>
          <w:rFonts w:ascii="楷体_GB2312" w:eastAsia="楷体_GB2312"/>
        </w:rPr>
      </w:pPr>
      <w:r>
        <w:rPr>
          <w:rFonts w:ascii="楷体_GB2312" w:eastAsia="楷体_GB2312" w:hint="eastAsia"/>
        </w:rPr>
        <w:t>（四）营造社会氛围</w:t>
      </w:r>
    </w:p>
    <w:p w:rsidR="008A60C7" w:rsidRDefault="008A60C7" w:rsidP="008A60C7">
      <w:pPr>
        <w:adjustRightInd w:val="0"/>
        <w:snapToGrid w:val="0"/>
        <w:spacing w:line="560" w:lineRule="exact"/>
        <w:ind w:firstLineChars="200" w:firstLine="640"/>
        <w:rPr>
          <w:rFonts w:ascii="仿宋_GB2312" w:eastAsia="仿宋_GB2312" w:hAnsiTheme="minorEastAsia" w:cstheme="minorEastAsia"/>
          <w:bCs/>
          <w:kern w:val="0"/>
          <w:sz w:val="32"/>
          <w:szCs w:val="32"/>
        </w:rPr>
      </w:pPr>
      <w:r>
        <w:rPr>
          <w:rFonts w:ascii="仿宋_GB2312" w:eastAsia="仿宋_GB2312" w:hAnsiTheme="minorEastAsia" w:cstheme="minorEastAsia" w:hint="eastAsia"/>
          <w:bCs/>
          <w:kern w:val="0"/>
          <w:sz w:val="32"/>
          <w:szCs w:val="32"/>
        </w:rPr>
        <w:t>利用各种渠道和媒体，建立现代园艺科普、标识和宣传系统，营造各方重视、全民参与、合力推进的产业氛围，支持文化创新，促进园艺进生活。及时总结工作中涌现的典型经验和先进事例，加强宣传推介。</w:t>
      </w:r>
    </w:p>
    <w:p w:rsidR="008A60C7" w:rsidRDefault="008A60C7" w:rsidP="008A60C7">
      <w:pPr>
        <w:pStyle w:val="a3"/>
        <w:adjustRightInd w:val="0"/>
        <w:snapToGrid w:val="0"/>
        <w:spacing w:after="0" w:line="560" w:lineRule="exact"/>
        <w:rPr>
          <w:rFonts w:ascii="黑体" w:eastAsia="黑体" w:hAnsi="黑体" w:cs="黑体"/>
          <w:sz w:val="32"/>
          <w:szCs w:val="32"/>
        </w:rPr>
      </w:pPr>
    </w:p>
    <w:p w:rsidR="008A60C7" w:rsidRDefault="008A60C7" w:rsidP="008A60C7">
      <w:pPr>
        <w:spacing w:line="560" w:lineRule="exact"/>
        <w:ind w:firstLineChars="200" w:firstLine="640"/>
        <w:rPr>
          <w:rFonts w:ascii="仿宋_GB2312" w:eastAsia="仿宋_GB2312" w:hAnsiTheme="minorEastAsia" w:cstheme="minorEastAsia"/>
          <w:bCs/>
          <w:sz w:val="32"/>
          <w:szCs w:val="32"/>
        </w:rPr>
      </w:pPr>
      <w:r>
        <w:rPr>
          <w:rFonts w:ascii="仿宋_GB2312" w:eastAsia="仿宋_GB2312" w:hAnsiTheme="minorEastAsia" w:cstheme="minorEastAsia" w:hint="eastAsia"/>
          <w:bCs/>
          <w:sz w:val="32"/>
          <w:szCs w:val="32"/>
        </w:rPr>
        <w:t>附件：1.三年行动计划（2020-2022）具体指标</w:t>
      </w:r>
    </w:p>
    <w:p w:rsidR="008A60C7" w:rsidRDefault="008A60C7" w:rsidP="008A60C7">
      <w:pPr>
        <w:pStyle w:val="a3"/>
        <w:adjustRightInd w:val="0"/>
        <w:snapToGrid w:val="0"/>
        <w:spacing w:after="0" w:line="560" w:lineRule="exact"/>
        <w:ind w:firstLineChars="500" w:firstLine="1600"/>
        <w:rPr>
          <w:rFonts w:ascii="黑体" w:eastAsia="黑体" w:hAnsi="黑体" w:cs="黑体"/>
          <w:sz w:val="32"/>
          <w:szCs w:val="32"/>
        </w:rPr>
      </w:pPr>
      <w:r>
        <w:rPr>
          <w:rFonts w:ascii="仿宋_GB2312" w:eastAsia="仿宋_GB2312" w:hAnsiTheme="minorEastAsia" w:cstheme="minorEastAsia" w:hint="eastAsia"/>
          <w:bCs/>
          <w:sz w:val="32"/>
          <w:szCs w:val="32"/>
        </w:rPr>
        <w:lastRenderedPageBreak/>
        <w:t>2.三年行动计划（2020-2022）主要任务</w:t>
      </w:r>
    </w:p>
    <w:p w:rsidR="008A60C7" w:rsidRDefault="008A60C7" w:rsidP="008A60C7">
      <w:pPr>
        <w:pStyle w:val="a3"/>
        <w:adjustRightInd w:val="0"/>
        <w:snapToGrid w:val="0"/>
        <w:spacing w:after="0" w:line="560" w:lineRule="exact"/>
        <w:rPr>
          <w:rFonts w:ascii="黑体" w:eastAsia="黑体" w:hAnsi="黑体" w:cs="黑体"/>
          <w:sz w:val="32"/>
          <w:szCs w:val="32"/>
        </w:rPr>
      </w:pPr>
    </w:p>
    <w:p w:rsidR="008A60C7" w:rsidRDefault="008A60C7" w:rsidP="008A60C7">
      <w:pPr>
        <w:pStyle w:val="a3"/>
        <w:adjustRightInd w:val="0"/>
        <w:snapToGrid w:val="0"/>
        <w:spacing w:after="0" w:line="560" w:lineRule="exact"/>
        <w:rPr>
          <w:rFonts w:ascii="黑体" w:eastAsia="黑体" w:hAnsi="黑体" w:cs="黑体"/>
          <w:sz w:val="32"/>
          <w:szCs w:val="32"/>
        </w:rPr>
      </w:pPr>
    </w:p>
    <w:p w:rsidR="008A60C7" w:rsidRDefault="008A60C7" w:rsidP="008A60C7">
      <w:pPr>
        <w:pStyle w:val="a3"/>
        <w:adjustRightInd w:val="0"/>
        <w:snapToGrid w:val="0"/>
        <w:spacing w:after="0" w:line="560" w:lineRule="exact"/>
        <w:rPr>
          <w:rFonts w:ascii="黑体" w:eastAsia="黑体" w:hAnsi="黑体" w:cs="黑体"/>
          <w:sz w:val="32"/>
          <w:szCs w:val="32"/>
        </w:rPr>
      </w:pPr>
    </w:p>
    <w:p w:rsidR="008A60C7" w:rsidRDefault="008A60C7" w:rsidP="008A60C7">
      <w:pPr>
        <w:pStyle w:val="a3"/>
        <w:adjustRightInd w:val="0"/>
        <w:snapToGrid w:val="0"/>
        <w:spacing w:after="0" w:line="560" w:lineRule="exact"/>
        <w:rPr>
          <w:rFonts w:ascii="黑体" w:eastAsia="黑体" w:hAnsi="黑体" w:cs="黑体"/>
          <w:sz w:val="32"/>
          <w:szCs w:val="32"/>
        </w:rPr>
      </w:pPr>
    </w:p>
    <w:p w:rsidR="008A60C7" w:rsidRDefault="008A60C7" w:rsidP="008A60C7">
      <w:pPr>
        <w:pStyle w:val="a3"/>
        <w:adjustRightInd w:val="0"/>
        <w:snapToGrid w:val="0"/>
        <w:spacing w:after="0" w:line="560" w:lineRule="exact"/>
        <w:rPr>
          <w:rFonts w:ascii="黑体" w:eastAsia="黑体" w:hAnsi="黑体" w:cs="黑体"/>
          <w:sz w:val="32"/>
          <w:szCs w:val="32"/>
        </w:rPr>
      </w:pPr>
    </w:p>
    <w:p w:rsidR="008A60C7" w:rsidRDefault="008A60C7" w:rsidP="008A60C7">
      <w:pPr>
        <w:pStyle w:val="a3"/>
        <w:adjustRightInd w:val="0"/>
        <w:snapToGrid w:val="0"/>
        <w:spacing w:after="0" w:line="560" w:lineRule="exact"/>
        <w:rPr>
          <w:rFonts w:ascii="黑体" w:eastAsia="黑体" w:hAnsi="黑体" w:cs="黑体"/>
          <w:sz w:val="32"/>
          <w:szCs w:val="32"/>
        </w:rPr>
      </w:pPr>
    </w:p>
    <w:p w:rsidR="008A60C7" w:rsidRDefault="008A60C7" w:rsidP="008A60C7">
      <w:pPr>
        <w:pStyle w:val="a3"/>
        <w:adjustRightInd w:val="0"/>
        <w:snapToGrid w:val="0"/>
        <w:spacing w:after="0" w:line="560" w:lineRule="exact"/>
        <w:rPr>
          <w:rFonts w:ascii="黑体" w:eastAsia="黑体" w:hAnsi="黑体" w:cs="黑体"/>
          <w:sz w:val="32"/>
          <w:szCs w:val="32"/>
        </w:rPr>
      </w:pPr>
    </w:p>
    <w:p w:rsidR="008A60C7" w:rsidRDefault="008A60C7" w:rsidP="008A60C7">
      <w:pPr>
        <w:pStyle w:val="a3"/>
        <w:adjustRightInd w:val="0"/>
        <w:snapToGrid w:val="0"/>
        <w:spacing w:after="0" w:line="560" w:lineRule="exact"/>
        <w:rPr>
          <w:rFonts w:ascii="黑体" w:eastAsia="黑体" w:hAnsi="黑体" w:cs="黑体"/>
          <w:sz w:val="32"/>
          <w:szCs w:val="32"/>
        </w:rPr>
      </w:pPr>
    </w:p>
    <w:p w:rsidR="008A60C7" w:rsidRDefault="008A60C7" w:rsidP="008A60C7">
      <w:pPr>
        <w:pStyle w:val="a3"/>
        <w:adjustRightInd w:val="0"/>
        <w:snapToGrid w:val="0"/>
        <w:spacing w:after="0" w:line="560" w:lineRule="exact"/>
        <w:rPr>
          <w:rFonts w:ascii="黑体" w:eastAsia="黑体" w:hAnsi="黑体" w:cs="黑体"/>
          <w:sz w:val="32"/>
          <w:szCs w:val="32"/>
        </w:rPr>
      </w:pPr>
    </w:p>
    <w:p w:rsidR="008A60C7" w:rsidRDefault="008A60C7" w:rsidP="008A60C7">
      <w:pPr>
        <w:pStyle w:val="a3"/>
        <w:adjustRightInd w:val="0"/>
        <w:snapToGrid w:val="0"/>
        <w:spacing w:after="0" w:line="560" w:lineRule="exact"/>
        <w:rPr>
          <w:rFonts w:ascii="黑体" w:eastAsia="黑体" w:hAnsi="黑体" w:cs="黑体"/>
          <w:sz w:val="32"/>
          <w:szCs w:val="32"/>
        </w:rPr>
      </w:pPr>
    </w:p>
    <w:p w:rsidR="008A60C7" w:rsidRDefault="008A60C7" w:rsidP="008A60C7">
      <w:pPr>
        <w:pStyle w:val="a3"/>
        <w:adjustRightInd w:val="0"/>
        <w:snapToGrid w:val="0"/>
        <w:spacing w:after="0" w:line="560" w:lineRule="exact"/>
        <w:rPr>
          <w:rFonts w:ascii="黑体" w:eastAsia="黑体" w:hAnsi="黑体" w:cs="黑体"/>
          <w:sz w:val="32"/>
          <w:szCs w:val="32"/>
        </w:rPr>
      </w:pPr>
    </w:p>
    <w:p w:rsidR="008A60C7" w:rsidRDefault="008A60C7" w:rsidP="008A60C7">
      <w:pPr>
        <w:pStyle w:val="a3"/>
        <w:adjustRightInd w:val="0"/>
        <w:snapToGrid w:val="0"/>
        <w:spacing w:after="0" w:line="560" w:lineRule="exact"/>
        <w:rPr>
          <w:rFonts w:ascii="黑体" w:eastAsia="黑体" w:hAnsi="黑体" w:cs="黑体"/>
          <w:sz w:val="32"/>
          <w:szCs w:val="32"/>
        </w:rPr>
      </w:pPr>
    </w:p>
    <w:p w:rsidR="008A60C7" w:rsidRDefault="008A60C7" w:rsidP="008A60C7">
      <w:pPr>
        <w:pStyle w:val="a3"/>
        <w:adjustRightInd w:val="0"/>
        <w:snapToGrid w:val="0"/>
        <w:spacing w:after="0" w:line="560" w:lineRule="exact"/>
        <w:rPr>
          <w:rFonts w:ascii="黑体" w:eastAsia="黑体" w:hAnsi="黑体" w:cs="黑体"/>
          <w:sz w:val="32"/>
          <w:szCs w:val="32"/>
        </w:rPr>
      </w:pPr>
    </w:p>
    <w:p w:rsidR="008A60C7" w:rsidRDefault="008A60C7" w:rsidP="008A60C7">
      <w:pPr>
        <w:pStyle w:val="a3"/>
        <w:adjustRightInd w:val="0"/>
        <w:snapToGrid w:val="0"/>
        <w:spacing w:after="0" w:line="560" w:lineRule="exact"/>
        <w:rPr>
          <w:rFonts w:ascii="黑体" w:eastAsia="黑体" w:hAnsi="黑体" w:cs="黑体"/>
          <w:sz w:val="32"/>
          <w:szCs w:val="32"/>
        </w:rPr>
      </w:pPr>
    </w:p>
    <w:p w:rsidR="008A60C7" w:rsidRDefault="008A60C7" w:rsidP="008A60C7">
      <w:pPr>
        <w:pStyle w:val="a3"/>
        <w:adjustRightInd w:val="0"/>
        <w:snapToGrid w:val="0"/>
        <w:spacing w:after="0" w:line="560" w:lineRule="exact"/>
        <w:rPr>
          <w:rFonts w:ascii="黑体" w:eastAsia="黑体" w:hAnsi="黑体" w:cs="黑体"/>
          <w:sz w:val="32"/>
          <w:szCs w:val="32"/>
        </w:rPr>
      </w:pPr>
    </w:p>
    <w:p w:rsidR="008A60C7" w:rsidRDefault="008A60C7" w:rsidP="008A60C7">
      <w:pPr>
        <w:pStyle w:val="a3"/>
        <w:adjustRightInd w:val="0"/>
        <w:snapToGrid w:val="0"/>
        <w:spacing w:after="0" w:line="560" w:lineRule="exact"/>
        <w:rPr>
          <w:rFonts w:ascii="黑体" w:eastAsia="黑体" w:hAnsi="黑体" w:cs="黑体"/>
          <w:sz w:val="32"/>
          <w:szCs w:val="32"/>
        </w:rPr>
      </w:pPr>
    </w:p>
    <w:p w:rsidR="008A60C7" w:rsidRDefault="008A60C7" w:rsidP="008A60C7">
      <w:pPr>
        <w:pStyle w:val="a3"/>
        <w:adjustRightInd w:val="0"/>
        <w:snapToGrid w:val="0"/>
        <w:spacing w:after="0" w:line="560" w:lineRule="exact"/>
        <w:rPr>
          <w:rFonts w:ascii="黑体" w:eastAsia="黑体" w:hAnsi="黑体" w:cs="黑体"/>
          <w:sz w:val="32"/>
          <w:szCs w:val="32"/>
        </w:rPr>
      </w:pPr>
    </w:p>
    <w:p w:rsidR="008A60C7" w:rsidRDefault="008A60C7" w:rsidP="008A60C7">
      <w:pPr>
        <w:pStyle w:val="a3"/>
        <w:adjustRightInd w:val="0"/>
        <w:snapToGrid w:val="0"/>
        <w:spacing w:after="0" w:line="560" w:lineRule="exact"/>
        <w:rPr>
          <w:rFonts w:ascii="黑体" w:eastAsia="黑体" w:hAnsi="黑体" w:cs="黑体"/>
          <w:sz w:val="32"/>
          <w:szCs w:val="32"/>
        </w:rPr>
      </w:pPr>
    </w:p>
    <w:p w:rsidR="008A60C7" w:rsidRDefault="008A60C7" w:rsidP="008A60C7">
      <w:pPr>
        <w:spacing w:line="560" w:lineRule="exact"/>
        <w:jc w:val="left"/>
        <w:rPr>
          <w:rFonts w:ascii="黑体" w:eastAsia="黑体" w:hAnsi="黑体" w:cs="宋体"/>
          <w:sz w:val="32"/>
          <w:szCs w:val="32"/>
          <w:shd w:val="clear" w:color="auto" w:fill="FFFFFF"/>
        </w:rPr>
      </w:pPr>
      <w:r>
        <w:rPr>
          <w:rFonts w:ascii="黑体" w:eastAsia="黑体" w:hAnsi="黑体" w:cs="宋体" w:hint="eastAsia"/>
          <w:sz w:val="32"/>
          <w:szCs w:val="32"/>
          <w:shd w:val="clear" w:color="auto" w:fill="FFFFFF"/>
        </w:rPr>
        <w:t>附件1</w:t>
      </w:r>
    </w:p>
    <w:p w:rsidR="008A60C7" w:rsidRDefault="008A60C7" w:rsidP="008A60C7">
      <w:pPr>
        <w:spacing w:line="560" w:lineRule="exact"/>
        <w:jc w:val="left"/>
        <w:rPr>
          <w:rFonts w:ascii="黑体" w:eastAsia="黑体" w:hAnsi="黑体" w:cs="宋体"/>
          <w:sz w:val="32"/>
          <w:szCs w:val="32"/>
          <w:shd w:val="clear" w:color="auto" w:fill="FFFFFF"/>
        </w:rPr>
      </w:pPr>
    </w:p>
    <w:p w:rsidR="008A60C7" w:rsidRDefault="008A60C7" w:rsidP="008A60C7">
      <w:pPr>
        <w:spacing w:afterLines="100" w:line="560" w:lineRule="exact"/>
        <w:jc w:val="center"/>
        <w:rPr>
          <w:rFonts w:ascii="方正小标宋简体" w:eastAsia="方正小标宋简体" w:hAnsi="宋体" w:cs="宋体"/>
          <w:sz w:val="28"/>
          <w:szCs w:val="28"/>
          <w:shd w:val="clear" w:color="auto" w:fill="FFFFFF"/>
        </w:rPr>
      </w:pPr>
      <w:r>
        <w:rPr>
          <w:rFonts w:ascii="方正小标宋简体" w:eastAsia="方正小标宋简体" w:hAnsi="宋体" w:cs="宋体" w:hint="eastAsia"/>
          <w:sz w:val="44"/>
          <w:szCs w:val="44"/>
          <w:shd w:val="clear" w:color="auto" w:fill="FFFFFF"/>
        </w:rPr>
        <w:t>三年行动计划（2020-2022）具体指标</w:t>
      </w:r>
    </w:p>
    <w:tbl>
      <w:tblPr>
        <w:tblStyle w:val="a4"/>
        <w:tblW w:w="8736" w:type="dxa"/>
        <w:jc w:val="center"/>
        <w:tblLayout w:type="fixed"/>
        <w:tblLook w:val="04A0"/>
      </w:tblPr>
      <w:tblGrid>
        <w:gridCol w:w="893"/>
        <w:gridCol w:w="6142"/>
        <w:gridCol w:w="1701"/>
      </w:tblGrid>
      <w:tr w:rsidR="008A60C7" w:rsidTr="003769E9">
        <w:trPr>
          <w:trHeight w:val="901"/>
          <w:jc w:val="center"/>
        </w:trPr>
        <w:tc>
          <w:tcPr>
            <w:tcW w:w="893" w:type="dxa"/>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560" w:lineRule="exact"/>
              <w:jc w:val="left"/>
              <w:rPr>
                <w:rFonts w:ascii="黑体" w:eastAsia="黑体" w:hAnsi="黑体"/>
                <w:sz w:val="28"/>
                <w:szCs w:val="28"/>
              </w:rPr>
            </w:pPr>
            <w:r>
              <w:rPr>
                <w:rFonts w:ascii="黑体" w:eastAsia="黑体" w:hAnsi="黑体" w:hint="eastAsia"/>
                <w:sz w:val="28"/>
                <w:szCs w:val="28"/>
              </w:rPr>
              <w:t>序号</w:t>
            </w:r>
          </w:p>
        </w:tc>
        <w:tc>
          <w:tcPr>
            <w:tcW w:w="6142" w:type="dxa"/>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560" w:lineRule="exact"/>
              <w:ind w:firstLine="480"/>
              <w:jc w:val="center"/>
              <w:rPr>
                <w:rFonts w:ascii="黑体" w:eastAsia="黑体" w:hAnsi="黑体"/>
                <w:sz w:val="28"/>
                <w:szCs w:val="28"/>
              </w:rPr>
            </w:pPr>
            <w:r>
              <w:rPr>
                <w:rFonts w:ascii="黑体" w:eastAsia="黑体" w:hAnsi="黑体" w:hint="eastAsia"/>
                <w:sz w:val="28"/>
                <w:szCs w:val="28"/>
              </w:rPr>
              <w:t>指标名称</w:t>
            </w:r>
          </w:p>
        </w:tc>
        <w:tc>
          <w:tcPr>
            <w:tcW w:w="1701" w:type="dxa"/>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560" w:lineRule="exact"/>
              <w:ind w:firstLineChars="100" w:firstLine="280"/>
              <w:rPr>
                <w:rFonts w:ascii="黑体" w:eastAsia="黑体" w:hAnsi="黑体"/>
                <w:sz w:val="28"/>
                <w:szCs w:val="28"/>
              </w:rPr>
            </w:pPr>
            <w:r>
              <w:rPr>
                <w:rFonts w:ascii="黑体" w:eastAsia="黑体" w:hAnsi="黑体" w:hint="eastAsia"/>
                <w:sz w:val="28"/>
                <w:szCs w:val="28"/>
              </w:rPr>
              <w:t>指标任务</w:t>
            </w:r>
          </w:p>
        </w:tc>
      </w:tr>
      <w:tr w:rsidR="008A60C7" w:rsidTr="003769E9">
        <w:trPr>
          <w:trHeight w:val="946"/>
          <w:jc w:val="center"/>
        </w:trPr>
        <w:tc>
          <w:tcPr>
            <w:tcW w:w="893" w:type="dxa"/>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560" w:lineRule="exact"/>
              <w:jc w:val="center"/>
              <w:rPr>
                <w:sz w:val="24"/>
                <w:szCs w:val="24"/>
              </w:rPr>
            </w:pPr>
            <w:r>
              <w:rPr>
                <w:sz w:val="24"/>
                <w:szCs w:val="24"/>
              </w:rPr>
              <w:lastRenderedPageBreak/>
              <w:t>1</w:t>
            </w:r>
          </w:p>
        </w:tc>
        <w:tc>
          <w:tcPr>
            <w:tcW w:w="6142" w:type="dxa"/>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560" w:lineRule="exact"/>
              <w:jc w:val="left"/>
              <w:rPr>
                <w:sz w:val="24"/>
                <w:szCs w:val="24"/>
              </w:rPr>
            </w:pPr>
            <w:r>
              <w:rPr>
                <w:rFonts w:hint="eastAsia"/>
                <w:sz w:val="24"/>
                <w:szCs w:val="24"/>
              </w:rPr>
              <w:t>集聚现代园艺企业、科研单位、产业组织数量（</w:t>
            </w:r>
            <w:proofErr w:type="gramStart"/>
            <w:r>
              <w:rPr>
                <w:rFonts w:hint="eastAsia"/>
                <w:sz w:val="24"/>
                <w:szCs w:val="24"/>
              </w:rPr>
              <w:t>个</w:t>
            </w:r>
            <w:proofErr w:type="gramEnd"/>
            <w:r>
              <w:rPr>
                <w:rFonts w:hint="eastAsia"/>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560" w:lineRule="exact"/>
              <w:ind w:firstLineChars="250" w:firstLine="600"/>
              <w:rPr>
                <w:sz w:val="24"/>
                <w:szCs w:val="24"/>
              </w:rPr>
            </w:pPr>
            <w:r>
              <w:rPr>
                <w:sz w:val="24"/>
                <w:szCs w:val="24"/>
              </w:rPr>
              <w:t>200</w:t>
            </w:r>
          </w:p>
        </w:tc>
      </w:tr>
      <w:tr w:rsidR="008A60C7" w:rsidTr="003769E9">
        <w:trPr>
          <w:trHeight w:val="976"/>
          <w:jc w:val="center"/>
        </w:trPr>
        <w:tc>
          <w:tcPr>
            <w:tcW w:w="893" w:type="dxa"/>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560" w:lineRule="exact"/>
              <w:ind w:firstLineChars="100" w:firstLine="240"/>
              <w:rPr>
                <w:sz w:val="24"/>
                <w:szCs w:val="24"/>
              </w:rPr>
            </w:pPr>
            <w:r>
              <w:rPr>
                <w:sz w:val="24"/>
                <w:szCs w:val="24"/>
              </w:rPr>
              <w:t>2</w:t>
            </w:r>
          </w:p>
        </w:tc>
        <w:tc>
          <w:tcPr>
            <w:tcW w:w="6142" w:type="dxa"/>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560" w:lineRule="exact"/>
              <w:jc w:val="left"/>
              <w:rPr>
                <w:sz w:val="24"/>
                <w:szCs w:val="24"/>
              </w:rPr>
            </w:pPr>
            <w:r>
              <w:rPr>
                <w:rFonts w:hint="eastAsia"/>
                <w:sz w:val="24"/>
                <w:szCs w:val="24"/>
              </w:rPr>
              <w:t>培育细分领域领军企业（</w:t>
            </w:r>
            <w:proofErr w:type="gramStart"/>
            <w:r>
              <w:rPr>
                <w:rFonts w:hint="eastAsia"/>
                <w:sz w:val="24"/>
                <w:szCs w:val="24"/>
              </w:rPr>
              <w:t>个</w:t>
            </w:r>
            <w:proofErr w:type="gramEnd"/>
            <w:r>
              <w:rPr>
                <w:rFonts w:hint="eastAsia"/>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560" w:lineRule="exact"/>
              <w:ind w:firstLineChars="300" w:firstLine="720"/>
              <w:rPr>
                <w:sz w:val="24"/>
                <w:szCs w:val="24"/>
              </w:rPr>
            </w:pPr>
            <w:r>
              <w:rPr>
                <w:sz w:val="24"/>
                <w:szCs w:val="24"/>
              </w:rPr>
              <w:t>5</w:t>
            </w:r>
          </w:p>
        </w:tc>
      </w:tr>
      <w:tr w:rsidR="008A60C7" w:rsidTr="003769E9">
        <w:trPr>
          <w:trHeight w:val="970"/>
          <w:jc w:val="center"/>
        </w:trPr>
        <w:tc>
          <w:tcPr>
            <w:tcW w:w="893" w:type="dxa"/>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560" w:lineRule="exact"/>
              <w:ind w:firstLineChars="100" w:firstLine="240"/>
              <w:jc w:val="left"/>
              <w:rPr>
                <w:sz w:val="24"/>
                <w:szCs w:val="24"/>
              </w:rPr>
            </w:pPr>
            <w:r>
              <w:rPr>
                <w:sz w:val="24"/>
                <w:szCs w:val="24"/>
              </w:rPr>
              <w:t>3</w:t>
            </w:r>
          </w:p>
        </w:tc>
        <w:tc>
          <w:tcPr>
            <w:tcW w:w="6142" w:type="dxa"/>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560" w:lineRule="exact"/>
              <w:jc w:val="left"/>
              <w:rPr>
                <w:sz w:val="24"/>
                <w:szCs w:val="24"/>
              </w:rPr>
            </w:pPr>
            <w:r>
              <w:rPr>
                <w:rFonts w:hint="eastAsia"/>
                <w:sz w:val="24"/>
                <w:szCs w:val="24"/>
              </w:rPr>
              <w:t>引进科研创新团队（</w:t>
            </w:r>
            <w:proofErr w:type="gramStart"/>
            <w:r>
              <w:rPr>
                <w:rFonts w:hint="eastAsia"/>
                <w:sz w:val="24"/>
                <w:szCs w:val="24"/>
              </w:rPr>
              <w:t>个</w:t>
            </w:r>
            <w:proofErr w:type="gramEnd"/>
            <w:r>
              <w:rPr>
                <w:rFonts w:hint="eastAsia"/>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560" w:lineRule="exact"/>
              <w:ind w:firstLineChars="300" w:firstLine="720"/>
              <w:rPr>
                <w:sz w:val="24"/>
                <w:szCs w:val="24"/>
              </w:rPr>
            </w:pPr>
            <w:r>
              <w:rPr>
                <w:sz w:val="24"/>
                <w:szCs w:val="24"/>
              </w:rPr>
              <w:t>15</w:t>
            </w:r>
          </w:p>
        </w:tc>
      </w:tr>
      <w:tr w:rsidR="008A60C7" w:rsidTr="003769E9">
        <w:trPr>
          <w:trHeight w:val="985"/>
          <w:jc w:val="center"/>
        </w:trPr>
        <w:tc>
          <w:tcPr>
            <w:tcW w:w="893" w:type="dxa"/>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560" w:lineRule="exact"/>
              <w:ind w:firstLineChars="100" w:firstLine="240"/>
              <w:jc w:val="left"/>
              <w:rPr>
                <w:sz w:val="24"/>
                <w:szCs w:val="24"/>
              </w:rPr>
            </w:pPr>
            <w:r>
              <w:rPr>
                <w:sz w:val="24"/>
                <w:szCs w:val="24"/>
              </w:rPr>
              <w:t>4</w:t>
            </w:r>
          </w:p>
        </w:tc>
        <w:tc>
          <w:tcPr>
            <w:tcW w:w="6142" w:type="dxa"/>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560" w:lineRule="exact"/>
              <w:jc w:val="left"/>
              <w:rPr>
                <w:sz w:val="24"/>
                <w:szCs w:val="24"/>
              </w:rPr>
            </w:pPr>
            <w:r>
              <w:rPr>
                <w:rFonts w:hint="eastAsia"/>
                <w:sz w:val="24"/>
                <w:szCs w:val="24"/>
              </w:rPr>
              <w:t>园艺及衍生产业销售收入（亿元）</w:t>
            </w:r>
          </w:p>
        </w:tc>
        <w:tc>
          <w:tcPr>
            <w:tcW w:w="1701" w:type="dxa"/>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560" w:lineRule="exact"/>
              <w:ind w:firstLineChars="300" w:firstLine="720"/>
              <w:rPr>
                <w:sz w:val="24"/>
                <w:szCs w:val="24"/>
              </w:rPr>
            </w:pPr>
            <w:r>
              <w:rPr>
                <w:sz w:val="24"/>
                <w:szCs w:val="24"/>
              </w:rPr>
              <w:t>9</w:t>
            </w:r>
          </w:p>
        </w:tc>
      </w:tr>
      <w:tr w:rsidR="008A60C7" w:rsidTr="003769E9">
        <w:trPr>
          <w:trHeight w:val="1002"/>
          <w:jc w:val="center"/>
        </w:trPr>
        <w:tc>
          <w:tcPr>
            <w:tcW w:w="893" w:type="dxa"/>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560" w:lineRule="exact"/>
              <w:ind w:firstLineChars="100" w:firstLine="240"/>
              <w:jc w:val="left"/>
              <w:rPr>
                <w:sz w:val="24"/>
                <w:szCs w:val="24"/>
              </w:rPr>
            </w:pPr>
            <w:r>
              <w:rPr>
                <w:sz w:val="24"/>
                <w:szCs w:val="24"/>
              </w:rPr>
              <w:t>5</w:t>
            </w:r>
          </w:p>
        </w:tc>
        <w:tc>
          <w:tcPr>
            <w:tcW w:w="6142" w:type="dxa"/>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440" w:lineRule="exact"/>
              <w:jc w:val="left"/>
              <w:rPr>
                <w:sz w:val="24"/>
                <w:szCs w:val="24"/>
              </w:rPr>
            </w:pPr>
            <w:r>
              <w:rPr>
                <w:rFonts w:hint="eastAsia"/>
                <w:sz w:val="24"/>
                <w:szCs w:val="24"/>
              </w:rPr>
              <w:t>拥有自主知识产权新品种、专利权新技术、实用型新产品（</w:t>
            </w:r>
            <w:proofErr w:type="gramStart"/>
            <w:r>
              <w:rPr>
                <w:rFonts w:hint="eastAsia"/>
                <w:sz w:val="24"/>
                <w:szCs w:val="24"/>
              </w:rPr>
              <w:t>个</w:t>
            </w:r>
            <w:proofErr w:type="gramEnd"/>
            <w:r>
              <w:rPr>
                <w:rFonts w:hint="eastAsia"/>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560" w:lineRule="exact"/>
              <w:ind w:firstLineChars="300" w:firstLine="720"/>
              <w:rPr>
                <w:sz w:val="24"/>
                <w:szCs w:val="24"/>
              </w:rPr>
            </w:pPr>
            <w:r>
              <w:rPr>
                <w:sz w:val="24"/>
                <w:szCs w:val="24"/>
              </w:rPr>
              <w:t>20</w:t>
            </w:r>
          </w:p>
        </w:tc>
      </w:tr>
      <w:tr w:rsidR="008A60C7" w:rsidTr="003769E9">
        <w:trPr>
          <w:trHeight w:val="1008"/>
          <w:jc w:val="center"/>
        </w:trPr>
        <w:tc>
          <w:tcPr>
            <w:tcW w:w="893" w:type="dxa"/>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560" w:lineRule="exact"/>
              <w:ind w:firstLineChars="100" w:firstLine="240"/>
              <w:jc w:val="left"/>
              <w:rPr>
                <w:sz w:val="24"/>
                <w:szCs w:val="24"/>
              </w:rPr>
            </w:pPr>
            <w:r>
              <w:rPr>
                <w:sz w:val="24"/>
                <w:szCs w:val="24"/>
              </w:rPr>
              <w:t>6</w:t>
            </w:r>
          </w:p>
        </w:tc>
        <w:tc>
          <w:tcPr>
            <w:tcW w:w="6142" w:type="dxa"/>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560" w:lineRule="exact"/>
              <w:jc w:val="left"/>
              <w:rPr>
                <w:sz w:val="24"/>
                <w:szCs w:val="24"/>
              </w:rPr>
            </w:pPr>
            <w:r>
              <w:rPr>
                <w:rFonts w:hint="eastAsia"/>
                <w:sz w:val="24"/>
                <w:szCs w:val="24"/>
              </w:rPr>
              <w:t>促进现代园艺科技创新成果转移转化（项）</w:t>
            </w:r>
          </w:p>
        </w:tc>
        <w:tc>
          <w:tcPr>
            <w:tcW w:w="1701" w:type="dxa"/>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560" w:lineRule="exact"/>
              <w:ind w:firstLineChars="250" w:firstLine="600"/>
              <w:rPr>
                <w:sz w:val="24"/>
                <w:szCs w:val="24"/>
              </w:rPr>
            </w:pPr>
            <w:r>
              <w:rPr>
                <w:sz w:val="24"/>
                <w:szCs w:val="24"/>
              </w:rPr>
              <w:t>100</w:t>
            </w:r>
          </w:p>
        </w:tc>
      </w:tr>
    </w:tbl>
    <w:p w:rsidR="008A60C7" w:rsidRDefault="008A60C7" w:rsidP="008A60C7">
      <w:pPr>
        <w:rPr>
          <w:rFonts w:ascii="楷体_GB2312" w:eastAsia="楷体_GB2312"/>
        </w:rPr>
      </w:pPr>
    </w:p>
    <w:p w:rsidR="008A60C7" w:rsidRDefault="008A60C7" w:rsidP="008A60C7">
      <w:pPr>
        <w:widowControl/>
        <w:jc w:val="left"/>
        <w:rPr>
          <w:rFonts w:ascii="楷体_GB2312" w:eastAsia="楷体_GB2312"/>
        </w:rPr>
      </w:pPr>
      <w:r>
        <w:rPr>
          <w:rFonts w:ascii="楷体_GB2312" w:eastAsia="楷体_GB2312"/>
        </w:rPr>
        <w:br w:type="page"/>
      </w:r>
    </w:p>
    <w:p w:rsidR="008A60C7" w:rsidRDefault="008A60C7" w:rsidP="008A60C7">
      <w:pPr>
        <w:spacing w:line="560" w:lineRule="exact"/>
        <w:jc w:val="left"/>
        <w:rPr>
          <w:rFonts w:ascii="黑体" w:eastAsia="黑体" w:hAnsi="黑体" w:cs="宋体"/>
          <w:sz w:val="32"/>
          <w:szCs w:val="32"/>
          <w:shd w:val="clear" w:color="auto" w:fill="FFFFFF"/>
        </w:rPr>
      </w:pPr>
      <w:r>
        <w:rPr>
          <w:rFonts w:ascii="黑体" w:eastAsia="黑体" w:hAnsi="黑体" w:cs="宋体" w:hint="eastAsia"/>
          <w:sz w:val="32"/>
          <w:szCs w:val="32"/>
          <w:shd w:val="clear" w:color="auto" w:fill="FFFFFF"/>
        </w:rPr>
        <w:lastRenderedPageBreak/>
        <w:t>附件2</w:t>
      </w:r>
    </w:p>
    <w:p w:rsidR="008A60C7" w:rsidRDefault="008A60C7" w:rsidP="008A60C7">
      <w:pPr>
        <w:spacing w:line="560" w:lineRule="exact"/>
        <w:jc w:val="left"/>
        <w:rPr>
          <w:rFonts w:ascii="黑体" w:eastAsia="黑体" w:hAnsi="黑体" w:cs="宋体"/>
          <w:sz w:val="32"/>
          <w:szCs w:val="32"/>
          <w:shd w:val="clear" w:color="auto" w:fill="FFFFFF"/>
        </w:rPr>
      </w:pPr>
    </w:p>
    <w:p w:rsidR="008A60C7" w:rsidRDefault="008A60C7" w:rsidP="008A60C7">
      <w:pPr>
        <w:spacing w:afterLines="100" w:line="560" w:lineRule="exact"/>
        <w:jc w:val="center"/>
        <w:rPr>
          <w:rFonts w:ascii="楷体_GB2312" w:eastAsia="楷体_GB2312"/>
          <w:sz w:val="32"/>
          <w:szCs w:val="32"/>
        </w:rPr>
      </w:pPr>
      <w:r>
        <w:rPr>
          <w:rFonts w:ascii="方正小标宋简体" w:eastAsia="方正小标宋简体" w:hAnsi="等线" w:cs="等线" w:hint="eastAsia"/>
          <w:sz w:val="44"/>
          <w:szCs w:val="44"/>
          <w:shd w:val="clear" w:color="auto" w:fill="FFFFFF"/>
        </w:rPr>
        <w:t>三年行动计划（2020-2022）主要任务</w:t>
      </w:r>
    </w:p>
    <w:tbl>
      <w:tblPr>
        <w:tblStyle w:val="1"/>
        <w:tblW w:w="4997" w:type="pct"/>
        <w:jc w:val="center"/>
        <w:tblLook w:val="04A0"/>
      </w:tblPr>
      <w:tblGrid>
        <w:gridCol w:w="660"/>
        <w:gridCol w:w="1284"/>
        <w:gridCol w:w="1584"/>
        <w:gridCol w:w="2054"/>
        <w:gridCol w:w="2935"/>
      </w:tblGrid>
      <w:tr w:rsidR="008A60C7" w:rsidTr="003769E9">
        <w:trPr>
          <w:trHeight w:val="589"/>
          <w:tblHeader/>
          <w:jc w:val="center"/>
        </w:trPr>
        <w:tc>
          <w:tcPr>
            <w:tcW w:w="387"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460" w:lineRule="exact"/>
              <w:jc w:val="center"/>
              <w:rPr>
                <w:rFonts w:ascii="黑体" w:eastAsia="黑体" w:hAnsi="黑体"/>
                <w:sz w:val="24"/>
                <w:szCs w:val="24"/>
              </w:rPr>
            </w:pPr>
            <w:r>
              <w:rPr>
                <w:rFonts w:ascii="黑体" w:eastAsia="黑体" w:hAnsi="黑体" w:hint="eastAsia"/>
                <w:sz w:val="24"/>
                <w:szCs w:val="24"/>
              </w:rPr>
              <w:t>序号</w:t>
            </w:r>
          </w:p>
        </w:tc>
        <w:tc>
          <w:tcPr>
            <w:tcW w:w="1683" w:type="pct"/>
            <w:gridSpan w:val="2"/>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460" w:lineRule="exact"/>
              <w:jc w:val="center"/>
              <w:rPr>
                <w:rFonts w:ascii="黑体" w:eastAsia="黑体" w:hAnsi="黑体"/>
                <w:sz w:val="24"/>
                <w:szCs w:val="24"/>
              </w:rPr>
            </w:pPr>
            <w:r>
              <w:rPr>
                <w:rFonts w:ascii="黑体" w:eastAsia="黑体" w:hAnsi="黑体" w:hint="eastAsia"/>
                <w:sz w:val="24"/>
                <w:szCs w:val="24"/>
              </w:rPr>
              <w:t>任务名称</w:t>
            </w:r>
          </w:p>
        </w:tc>
        <w:tc>
          <w:tcPr>
            <w:tcW w:w="1206"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460" w:lineRule="exact"/>
              <w:jc w:val="center"/>
              <w:rPr>
                <w:rFonts w:ascii="黑体" w:eastAsia="黑体" w:hAnsi="黑体"/>
                <w:sz w:val="24"/>
                <w:szCs w:val="24"/>
              </w:rPr>
            </w:pPr>
            <w:r>
              <w:rPr>
                <w:rFonts w:ascii="黑体" w:eastAsia="黑体" w:hAnsi="黑体" w:hint="eastAsia"/>
                <w:sz w:val="24"/>
                <w:szCs w:val="24"/>
              </w:rPr>
              <w:t>主</w:t>
            </w:r>
            <w:proofErr w:type="gramStart"/>
            <w:r>
              <w:rPr>
                <w:rFonts w:ascii="黑体" w:eastAsia="黑体" w:hAnsi="黑体" w:hint="eastAsia"/>
                <w:sz w:val="24"/>
                <w:szCs w:val="24"/>
              </w:rPr>
              <w:t>责部门</w:t>
            </w:r>
            <w:proofErr w:type="gramEnd"/>
          </w:p>
        </w:tc>
        <w:tc>
          <w:tcPr>
            <w:tcW w:w="1723"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460" w:lineRule="exact"/>
              <w:jc w:val="center"/>
              <w:rPr>
                <w:rFonts w:ascii="黑体" w:eastAsia="黑体" w:hAnsi="黑体"/>
                <w:sz w:val="24"/>
                <w:szCs w:val="24"/>
              </w:rPr>
            </w:pPr>
            <w:r>
              <w:rPr>
                <w:rFonts w:ascii="黑体" w:eastAsia="黑体" w:hAnsi="黑体" w:hint="eastAsia"/>
                <w:sz w:val="24"/>
                <w:szCs w:val="24"/>
              </w:rPr>
              <w:t>责任部门</w:t>
            </w:r>
          </w:p>
        </w:tc>
      </w:tr>
      <w:tr w:rsidR="008A60C7" w:rsidTr="003769E9">
        <w:trPr>
          <w:trHeight w:val="1380"/>
          <w:jc w:val="center"/>
        </w:trPr>
        <w:tc>
          <w:tcPr>
            <w:tcW w:w="387"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ind w:firstLineChars="100" w:firstLine="210"/>
              <w:rPr>
                <w:szCs w:val="21"/>
              </w:rPr>
            </w:pPr>
            <w:r>
              <w:rPr>
                <w:sz w:val="21"/>
                <w:szCs w:val="21"/>
              </w:rPr>
              <w:t>1</w:t>
            </w:r>
          </w:p>
        </w:tc>
        <w:tc>
          <w:tcPr>
            <w:tcW w:w="753"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坚持规划引领，持续加强顶层设计</w:t>
            </w:r>
          </w:p>
        </w:tc>
        <w:tc>
          <w:tcPr>
            <w:tcW w:w="929"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优化产业格局</w:t>
            </w:r>
          </w:p>
        </w:tc>
        <w:tc>
          <w:tcPr>
            <w:tcW w:w="1206"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区科委（中关村延庆园管委会）</w:t>
            </w:r>
          </w:p>
        </w:tc>
        <w:tc>
          <w:tcPr>
            <w:tcW w:w="1723"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区发展改革委、区农业农村局、区园林绿化局、市规划自然资源委延庆分局、</w:t>
            </w:r>
            <w:proofErr w:type="gramStart"/>
            <w:r>
              <w:rPr>
                <w:rFonts w:hint="eastAsia"/>
                <w:sz w:val="21"/>
                <w:szCs w:val="21"/>
              </w:rPr>
              <w:t>世</w:t>
            </w:r>
            <w:proofErr w:type="gramEnd"/>
            <w:r>
              <w:rPr>
                <w:rFonts w:hint="eastAsia"/>
                <w:sz w:val="21"/>
                <w:szCs w:val="21"/>
              </w:rPr>
              <w:t>园公司</w:t>
            </w:r>
          </w:p>
        </w:tc>
      </w:tr>
      <w:tr w:rsidR="008A60C7" w:rsidTr="003769E9">
        <w:trPr>
          <w:trHeight w:val="836"/>
          <w:jc w:val="center"/>
        </w:trPr>
        <w:tc>
          <w:tcPr>
            <w:tcW w:w="387" w:type="pct"/>
            <w:vMerge w:val="restar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ind w:firstLineChars="100" w:firstLine="210"/>
              <w:rPr>
                <w:szCs w:val="21"/>
              </w:rPr>
            </w:pPr>
            <w:r>
              <w:rPr>
                <w:sz w:val="21"/>
                <w:szCs w:val="21"/>
              </w:rPr>
              <w:t>2</w:t>
            </w:r>
          </w:p>
        </w:tc>
        <w:tc>
          <w:tcPr>
            <w:tcW w:w="753" w:type="pct"/>
            <w:vMerge w:val="restar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实施三大创新工程，逐步构建高精尖结构</w:t>
            </w:r>
          </w:p>
          <w:p w:rsidR="008A60C7" w:rsidRDefault="008A60C7" w:rsidP="003769E9">
            <w:pPr>
              <w:spacing w:line="320" w:lineRule="exact"/>
              <w:rPr>
                <w:szCs w:val="21"/>
              </w:rPr>
            </w:pPr>
          </w:p>
        </w:tc>
        <w:tc>
          <w:tcPr>
            <w:tcW w:w="929"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创新能力提升工程</w:t>
            </w:r>
          </w:p>
        </w:tc>
        <w:tc>
          <w:tcPr>
            <w:tcW w:w="1206"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区科委（中关村延庆园管委会）</w:t>
            </w:r>
          </w:p>
        </w:tc>
        <w:tc>
          <w:tcPr>
            <w:tcW w:w="1723"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区农业农村局、区园林绿化局、区科协</w:t>
            </w:r>
          </w:p>
        </w:tc>
      </w:tr>
      <w:tr w:rsidR="008A60C7" w:rsidTr="003769E9">
        <w:trPr>
          <w:trHeight w:val="1079"/>
          <w:jc w:val="center"/>
        </w:trPr>
        <w:tc>
          <w:tcPr>
            <w:tcW w:w="387" w:type="pct"/>
            <w:vMerge/>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p>
        </w:tc>
        <w:tc>
          <w:tcPr>
            <w:tcW w:w="753" w:type="pct"/>
            <w:vMerge/>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p>
        </w:tc>
        <w:tc>
          <w:tcPr>
            <w:tcW w:w="929"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创新要素集聚工程</w:t>
            </w:r>
          </w:p>
        </w:tc>
        <w:tc>
          <w:tcPr>
            <w:tcW w:w="1206"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区科委（中关村延庆园管委会）</w:t>
            </w:r>
          </w:p>
        </w:tc>
        <w:tc>
          <w:tcPr>
            <w:tcW w:w="1723"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区农业农村局、区园林绿化局、区发展改革委、区委组织部、区人力资源社会保障局</w:t>
            </w:r>
          </w:p>
        </w:tc>
      </w:tr>
      <w:tr w:rsidR="008A60C7" w:rsidTr="003769E9">
        <w:trPr>
          <w:trHeight w:val="892"/>
          <w:jc w:val="center"/>
        </w:trPr>
        <w:tc>
          <w:tcPr>
            <w:tcW w:w="387" w:type="pct"/>
            <w:vMerge/>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p>
        </w:tc>
        <w:tc>
          <w:tcPr>
            <w:tcW w:w="753" w:type="pct"/>
            <w:vMerge/>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p>
        </w:tc>
        <w:tc>
          <w:tcPr>
            <w:tcW w:w="929"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创新成果转化工程</w:t>
            </w:r>
          </w:p>
        </w:tc>
        <w:tc>
          <w:tcPr>
            <w:tcW w:w="1206"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区农业农村局</w:t>
            </w:r>
          </w:p>
        </w:tc>
        <w:tc>
          <w:tcPr>
            <w:tcW w:w="1723"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区园林绿化局、区科委（中关村延庆园管委会）、各相关乡镇</w:t>
            </w:r>
          </w:p>
        </w:tc>
      </w:tr>
      <w:tr w:rsidR="008A60C7" w:rsidTr="003769E9">
        <w:trPr>
          <w:trHeight w:val="825"/>
          <w:jc w:val="center"/>
        </w:trPr>
        <w:tc>
          <w:tcPr>
            <w:tcW w:w="387" w:type="pct"/>
            <w:vMerge w:val="restart"/>
            <w:tcBorders>
              <w:top w:val="single" w:sz="4" w:space="0" w:color="auto"/>
              <w:left w:val="single" w:sz="4" w:space="0" w:color="auto"/>
              <w:bottom w:val="single" w:sz="4" w:space="0" w:color="auto"/>
              <w:right w:val="single" w:sz="4" w:space="0" w:color="auto"/>
            </w:tcBorders>
            <w:vAlign w:val="center"/>
          </w:tcPr>
          <w:p w:rsidR="008A60C7" w:rsidRDefault="008A60C7" w:rsidP="008A60C7">
            <w:pPr>
              <w:spacing w:line="320" w:lineRule="exact"/>
              <w:ind w:firstLineChars="100" w:firstLine="200"/>
              <w:jc w:val="center"/>
              <w:rPr>
                <w:szCs w:val="21"/>
              </w:rPr>
            </w:pPr>
          </w:p>
          <w:p w:rsidR="008A60C7" w:rsidRDefault="008A60C7" w:rsidP="008A60C7">
            <w:pPr>
              <w:spacing w:line="320" w:lineRule="exact"/>
              <w:ind w:firstLineChars="100" w:firstLine="200"/>
              <w:jc w:val="center"/>
              <w:rPr>
                <w:szCs w:val="21"/>
              </w:rPr>
            </w:pPr>
          </w:p>
          <w:p w:rsidR="008A60C7" w:rsidRDefault="008A60C7" w:rsidP="008A60C7">
            <w:pPr>
              <w:spacing w:line="320" w:lineRule="exact"/>
              <w:ind w:firstLineChars="100" w:firstLine="200"/>
              <w:jc w:val="center"/>
              <w:rPr>
                <w:szCs w:val="21"/>
              </w:rPr>
            </w:pPr>
          </w:p>
          <w:p w:rsidR="008A60C7" w:rsidRDefault="008A60C7" w:rsidP="008A60C7">
            <w:pPr>
              <w:spacing w:line="320" w:lineRule="exact"/>
              <w:ind w:firstLineChars="100" w:firstLine="200"/>
              <w:jc w:val="center"/>
              <w:rPr>
                <w:szCs w:val="21"/>
              </w:rPr>
            </w:pPr>
          </w:p>
          <w:p w:rsidR="008A60C7" w:rsidRDefault="008A60C7" w:rsidP="008A60C7">
            <w:pPr>
              <w:spacing w:line="320" w:lineRule="exact"/>
              <w:ind w:firstLineChars="100" w:firstLine="200"/>
              <w:jc w:val="center"/>
              <w:rPr>
                <w:szCs w:val="21"/>
              </w:rPr>
            </w:pPr>
          </w:p>
          <w:p w:rsidR="008A60C7" w:rsidRDefault="008A60C7" w:rsidP="003769E9">
            <w:pPr>
              <w:spacing w:line="320" w:lineRule="exact"/>
              <w:jc w:val="center"/>
              <w:rPr>
                <w:szCs w:val="21"/>
              </w:rPr>
            </w:pPr>
          </w:p>
          <w:p w:rsidR="008A60C7" w:rsidRDefault="008A60C7" w:rsidP="003769E9">
            <w:pPr>
              <w:spacing w:line="320" w:lineRule="exact"/>
              <w:jc w:val="center"/>
              <w:rPr>
                <w:szCs w:val="21"/>
              </w:rPr>
            </w:pPr>
          </w:p>
          <w:p w:rsidR="008A60C7" w:rsidRDefault="008A60C7" w:rsidP="003769E9">
            <w:pPr>
              <w:spacing w:line="320" w:lineRule="exact"/>
              <w:jc w:val="center"/>
              <w:rPr>
                <w:szCs w:val="21"/>
              </w:rPr>
            </w:pPr>
          </w:p>
          <w:p w:rsidR="008A60C7" w:rsidRDefault="008A60C7" w:rsidP="003769E9">
            <w:pPr>
              <w:spacing w:line="320" w:lineRule="exact"/>
              <w:ind w:firstLineChars="100" w:firstLine="210"/>
              <w:rPr>
                <w:szCs w:val="21"/>
              </w:rPr>
            </w:pPr>
            <w:r>
              <w:rPr>
                <w:sz w:val="21"/>
                <w:szCs w:val="21"/>
              </w:rPr>
              <w:t>3</w:t>
            </w:r>
          </w:p>
          <w:p w:rsidR="008A60C7" w:rsidRDefault="008A60C7" w:rsidP="008A60C7">
            <w:pPr>
              <w:spacing w:line="320" w:lineRule="exact"/>
              <w:ind w:firstLineChars="100" w:firstLine="200"/>
              <w:jc w:val="center"/>
              <w:rPr>
                <w:szCs w:val="21"/>
              </w:rPr>
            </w:pPr>
          </w:p>
          <w:p w:rsidR="008A60C7" w:rsidRDefault="008A60C7" w:rsidP="008A60C7">
            <w:pPr>
              <w:spacing w:line="320" w:lineRule="exact"/>
              <w:ind w:firstLineChars="100" w:firstLine="200"/>
              <w:jc w:val="center"/>
              <w:rPr>
                <w:szCs w:val="21"/>
              </w:rPr>
            </w:pPr>
          </w:p>
          <w:p w:rsidR="008A60C7" w:rsidRDefault="008A60C7" w:rsidP="008A60C7">
            <w:pPr>
              <w:spacing w:line="320" w:lineRule="exact"/>
              <w:ind w:firstLineChars="100" w:firstLine="200"/>
              <w:jc w:val="center"/>
              <w:rPr>
                <w:szCs w:val="21"/>
              </w:rPr>
            </w:pPr>
          </w:p>
          <w:p w:rsidR="008A60C7" w:rsidRDefault="008A60C7" w:rsidP="008A60C7">
            <w:pPr>
              <w:spacing w:line="320" w:lineRule="exact"/>
              <w:ind w:firstLineChars="100" w:firstLine="200"/>
              <w:jc w:val="center"/>
              <w:rPr>
                <w:szCs w:val="21"/>
              </w:rPr>
            </w:pPr>
          </w:p>
          <w:p w:rsidR="008A60C7" w:rsidRDefault="008A60C7" w:rsidP="008A60C7">
            <w:pPr>
              <w:spacing w:line="320" w:lineRule="exact"/>
              <w:ind w:firstLineChars="100" w:firstLine="200"/>
              <w:jc w:val="center"/>
              <w:rPr>
                <w:szCs w:val="21"/>
              </w:rPr>
            </w:pPr>
          </w:p>
          <w:p w:rsidR="008A60C7" w:rsidRDefault="008A60C7" w:rsidP="008A60C7">
            <w:pPr>
              <w:spacing w:line="320" w:lineRule="exact"/>
              <w:ind w:firstLineChars="100" w:firstLine="200"/>
              <w:jc w:val="center"/>
              <w:rPr>
                <w:szCs w:val="21"/>
              </w:rPr>
            </w:pPr>
          </w:p>
          <w:p w:rsidR="008A60C7" w:rsidRDefault="008A60C7" w:rsidP="008A60C7">
            <w:pPr>
              <w:spacing w:line="320" w:lineRule="exact"/>
              <w:ind w:firstLineChars="100" w:firstLine="200"/>
              <w:jc w:val="center"/>
              <w:rPr>
                <w:szCs w:val="21"/>
              </w:rPr>
            </w:pPr>
          </w:p>
          <w:p w:rsidR="008A60C7" w:rsidRDefault="008A60C7" w:rsidP="008A60C7">
            <w:pPr>
              <w:spacing w:line="320" w:lineRule="exact"/>
              <w:ind w:firstLineChars="100" w:firstLine="200"/>
              <w:jc w:val="center"/>
              <w:rPr>
                <w:szCs w:val="21"/>
              </w:rPr>
            </w:pPr>
          </w:p>
          <w:p w:rsidR="008A60C7" w:rsidRDefault="008A60C7" w:rsidP="003769E9">
            <w:pPr>
              <w:spacing w:line="320" w:lineRule="exact"/>
              <w:rPr>
                <w:szCs w:val="21"/>
              </w:rPr>
            </w:pPr>
          </w:p>
        </w:tc>
        <w:tc>
          <w:tcPr>
            <w:tcW w:w="753" w:type="pct"/>
            <w:vMerge w:val="restar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p>
          <w:p w:rsidR="008A60C7" w:rsidRDefault="008A60C7" w:rsidP="003769E9">
            <w:pPr>
              <w:spacing w:line="320" w:lineRule="exact"/>
              <w:rPr>
                <w:szCs w:val="21"/>
              </w:rPr>
            </w:pPr>
          </w:p>
          <w:p w:rsidR="008A60C7" w:rsidRDefault="008A60C7" w:rsidP="003769E9">
            <w:pPr>
              <w:spacing w:line="320" w:lineRule="exact"/>
              <w:rPr>
                <w:szCs w:val="21"/>
              </w:rPr>
            </w:pPr>
          </w:p>
          <w:p w:rsidR="008A60C7" w:rsidRDefault="008A60C7" w:rsidP="003769E9">
            <w:pPr>
              <w:spacing w:line="320" w:lineRule="exact"/>
              <w:rPr>
                <w:szCs w:val="21"/>
              </w:rPr>
            </w:pPr>
          </w:p>
          <w:p w:rsidR="008A60C7" w:rsidRDefault="008A60C7" w:rsidP="003769E9">
            <w:pPr>
              <w:spacing w:line="320" w:lineRule="exact"/>
              <w:rPr>
                <w:szCs w:val="21"/>
              </w:rPr>
            </w:pPr>
          </w:p>
          <w:p w:rsidR="008A60C7" w:rsidRDefault="008A60C7" w:rsidP="003769E9">
            <w:pPr>
              <w:spacing w:line="320" w:lineRule="exact"/>
              <w:rPr>
                <w:szCs w:val="21"/>
              </w:rPr>
            </w:pPr>
          </w:p>
          <w:p w:rsidR="008A60C7" w:rsidRDefault="008A60C7" w:rsidP="003769E9">
            <w:pPr>
              <w:spacing w:line="320" w:lineRule="exact"/>
              <w:rPr>
                <w:szCs w:val="21"/>
              </w:rPr>
            </w:pPr>
            <w:proofErr w:type="gramStart"/>
            <w:r>
              <w:rPr>
                <w:rFonts w:hint="eastAsia"/>
                <w:sz w:val="21"/>
                <w:szCs w:val="21"/>
              </w:rPr>
              <w:t>构建六</w:t>
            </w:r>
            <w:proofErr w:type="gramEnd"/>
            <w:r>
              <w:rPr>
                <w:rFonts w:hint="eastAsia"/>
                <w:sz w:val="21"/>
                <w:szCs w:val="21"/>
              </w:rPr>
              <w:t>大服务平台，切实提升服务能级</w:t>
            </w:r>
          </w:p>
          <w:p w:rsidR="008A60C7" w:rsidRDefault="008A60C7" w:rsidP="003769E9">
            <w:pPr>
              <w:spacing w:line="320" w:lineRule="exact"/>
              <w:rPr>
                <w:szCs w:val="21"/>
              </w:rPr>
            </w:pPr>
          </w:p>
          <w:p w:rsidR="008A60C7" w:rsidRDefault="008A60C7" w:rsidP="003769E9">
            <w:pPr>
              <w:spacing w:line="320" w:lineRule="exact"/>
              <w:rPr>
                <w:szCs w:val="21"/>
              </w:rPr>
            </w:pPr>
          </w:p>
          <w:p w:rsidR="008A60C7" w:rsidRDefault="008A60C7" w:rsidP="003769E9">
            <w:pPr>
              <w:spacing w:line="320" w:lineRule="exact"/>
              <w:rPr>
                <w:szCs w:val="21"/>
              </w:rPr>
            </w:pPr>
          </w:p>
          <w:p w:rsidR="008A60C7" w:rsidRDefault="008A60C7" w:rsidP="003769E9">
            <w:pPr>
              <w:spacing w:line="320" w:lineRule="exact"/>
              <w:rPr>
                <w:szCs w:val="21"/>
              </w:rPr>
            </w:pPr>
          </w:p>
          <w:p w:rsidR="008A60C7" w:rsidRDefault="008A60C7" w:rsidP="003769E9">
            <w:pPr>
              <w:spacing w:line="320" w:lineRule="exact"/>
              <w:rPr>
                <w:szCs w:val="21"/>
              </w:rPr>
            </w:pPr>
          </w:p>
          <w:p w:rsidR="008A60C7" w:rsidRDefault="008A60C7" w:rsidP="003769E9">
            <w:pPr>
              <w:spacing w:line="320" w:lineRule="exact"/>
              <w:rPr>
                <w:szCs w:val="21"/>
              </w:rPr>
            </w:pPr>
          </w:p>
          <w:p w:rsidR="008A60C7" w:rsidRDefault="008A60C7" w:rsidP="003769E9">
            <w:pPr>
              <w:spacing w:line="320" w:lineRule="exact"/>
              <w:rPr>
                <w:szCs w:val="21"/>
              </w:rPr>
            </w:pPr>
          </w:p>
        </w:tc>
        <w:tc>
          <w:tcPr>
            <w:tcW w:w="929"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构建公共技术服务平台</w:t>
            </w:r>
          </w:p>
        </w:tc>
        <w:tc>
          <w:tcPr>
            <w:tcW w:w="1206"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区科委（中关村延庆园管委会）</w:t>
            </w:r>
          </w:p>
        </w:tc>
        <w:tc>
          <w:tcPr>
            <w:tcW w:w="1723"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区农业农村局、区园林绿化局、</w:t>
            </w:r>
          </w:p>
        </w:tc>
      </w:tr>
      <w:tr w:rsidR="008A60C7" w:rsidTr="003769E9">
        <w:trPr>
          <w:trHeight w:val="1041"/>
          <w:jc w:val="center"/>
        </w:trPr>
        <w:tc>
          <w:tcPr>
            <w:tcW w:w="387" w:type="pct"/>
            <w:vMerge/>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p>
        </w:tc>
        <w:tc>
          <w:tcPr>
            <w:tcW w:w="753" w:type="pct"/>
            <w:vMerge/>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p>
        </w:tc>
        <w:tc>
          <w:tcPr>
            <w:tcW w:w="929"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构建产权交易服务平台</w:t>
            </w:r>
          </w:p>
        </w:tc>
        <w:tc>
          <w:tcPr>
            <w:tcW w:w="1206"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区园林</w:t>
            </w:r>
            <w:proofErr w:type="gramStart"/>
            <w:r>
              <w:rPr>
                <w:rFonts w:hint="eastAsia"/>
                <w:sz w:val="21"/>
                <w:szCs w:val="21"/>
              </w:rPr>
              <w:t>绿化局</w:t>
            </w:r>
            <w:proofErr w:type="gramEnd"/>
          </w:p>
        </w:tc>
        <w:tc>
          <w:tcPr>
            <w:tcW w:w="1723"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区农业农村局、区科委（中关村延庆园管委会）、区市场监管局、区司法局</w:t>
            </w:r>
          </w:p>
        </w:tc>
      </w:tr>
      <w:tr w:rsidR="008A60C7" w:rsidTr="003769E9">
        <w:trPr>
          <w:trHeight w:val="756"/>
          <w:jc w:val="center"/>
        </w:trPr>
        <w:tc>
          <w:tcPr>
            <w:tcW w:w="387" w:type="pct"/>
            <w:vMerge/>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p>
        </w:tc>
        <w:tc>
          <w:tcPr>
            <w:tcW w:w="753" w:type="pct"/>
            <w:vMerge/>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p>
        </w:tc>
        <w:tc>
          <w:tcPr>
            <w:tcW w:w="929"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构建科技金融服务平台</w:t>
            </w:r>
          </w:p>
        </w:tc>
        <w:tc>
          <w:tcPr>
            <w:tcW w:w="1206"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区发展改革委</w:t>
            </w:r>
            <w:r>
              <w:rPr>
                <w:rFonts w:hint="eastAsia"/>
                <w:sz w:val="21"/>
                <w:szCs w:val="21"/>
              </w:rPr>
              <w:t xml:space="preserve"> </w:t>
            </w:r>
          </w:p>
        </w:tc>
        <w:tc>
          <w:tcPr>
            <w:tcW w:w="1723"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区科委（中关村延庆园管委会）</w:t>
            </w:r>
          </w:p>
        </w:tc>
      </w:tr>
      <w:tr w:rsidR="008A60C7" w:rsidTr="003769E9">
        <w:trPr>
          <w:trHeight w:val="1084"/>
          <w:jc w:val="center"/>
        </w:trPr>
        <w:tc>
          <w:tcPr>
            <w:tcW w:w="387" w:type="pct"/>
            <w:vMerge/>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p>
        </w:tc>
        <w:tc>
          <w:tcPr>
            <w:tcW w:w="753" w:type="pct"/>
            <w:vMerge/>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p>
        </w:tc>
        <w:tc>
          <w:tcPr>
            <w:tcW w:w="929"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构建市场对接服务平台</w:t>
            </w:r>
          </w:p>
        </w:tc>
        <w:tc>
          <w:tcPr>
            <w:tcW w:w="1206"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区农业农村局</w:t>
            </w:r>
          </w:p>
        </w:tc>
        <w:tc>
          <w:tcPr>
            <w:tcW w:w="1723"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区园林绿化局、区城市管理委、延庆公路分局、区科委（中关村延庆园管委会）</w:t>
            </w:r>
          </w:p>
        </w:tc>
      </w:tr>
      <w:tr w:rsidR="008A60C7" w:rsidTr="003769E9">
        <w:trPr>
          <w:trHeight w:val="815"/>
          <w:jc w:val="center"/>
        </w:trPr>
        <w:tc>
          <w:tcPr>
            <w:tcW w:w="387" w:type="pct"/>
            <w:vMerge/>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p>
        </w:tc>
        <w:tc>
          <w:tcPr>
            <w:tcW w:w="753" w:type="pct"/>
            <w:vMerge/>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p>
        </w:tc>
        <w:tc>
          <w:tcPr>
            <w:tcW w:w="929"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构建政务服务平台</w:t>
            </w:r>
          </w:p>
        </w:tc>
        <w:tc>
          <w:tcPr>
            <w:tcW w:w="1206"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区政务服务局</w:t>
            </w:r>
          </w:p>
        </w:tc>
        <w:tc>
          <w:tcPr>
            <w:tcW w:w="1723"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区发展改革委、区城市服务管理指挥中心、区经济和信息化局</w:t>
            </w:r>
          </w:p>
        </w:tc>
      </w:tr>
      <w:tr w:rsidR="008A60C7" w:rsidTr="003769E9">
        <w:trPr>
          <w:trHeight w:val="1104"/>
          <w:jc w:val="center"/>
        </w:trPr>
        <w:tc>
          <w:tcPr>
            <w:tcW w:w="387" w:type="pct"/>
            <w:vMerge/>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p>
        </w:tc>
        <w:tc>
          <w:tcPr>
            <w:tcW w:w="753" w:type="pct"/>
            <w:vMerge/>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p>
        </w:tc>
        <w:tc>
          <w:tcPr>
            <w:tcW w:w="929"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构建人才培训平台</w:t>
            </w:r>
          </w:p>
        </w:tc>
        <w:tc>
          <w:tcPr>
            <w:tcW w:w="1206"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区人力资源社会保障局</w:t>
            </w:r>
          </w:p>
        </w:tc>
        <w:tc>
          <w:tcPr>
            <w:tcW w:w="1723"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区教委、区委组织部、区农业农村局、区园林绿化局、区科委（中关村延庆园管委会）</w:t>
            </w:r>
          </w:p>
        </w:tc>
      </w:tr>
      <w:tr w:rsidR="008A60C7" w:rsidTr="003769E9">
        <w:trPr>
          <w:trHeight w:val="1348"/>
          <w:jc w:val="center"/>
        </w:trPr>
        <w:tc>
          <w:tcPr>
            <w:tcW w:w="387" w:type="pct"/>
            <w:vMerge w:val="restar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ind w:firstLineChars="100" w:firstLine="210"/>
              <w:rPr>
                <w:szCs w:val="21"/>
              </w:rPr>
            </w:pPr>
            <w:r>
              <w:rPr>
                <w:sz w:val="21"/>
                <w:szCs w:val="21"/>
              </w:rPr>
              <w:lastRenderedPageBreak/>
              <w:t>4</w:t>
            </w:r>
          </w:p>
        </w:tc>
        <w:tc>
          <w:tcPr>
            <w:tcW w:w="753" w:type="pct"/>
            <w:vMerge w:val="restar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优化“一区多园”布局，不断完善产业格局</w:t>
            </w:r>
          </w:p>
          <w:p w:rsidR="008A60C7" w:rsidRDefault="008A60C7" w:rsidP="003769E9">
            <w:pPr>
              <w:spacing w:line="320" w:lineRule="exact"/>
              <w:rPr>
                <w:szCs w:val="21"/>
              </w:rPr>
            </w:pPr>
          </w:p>
        </w:tc>
        <w:tc>
          <w:tcPr>
            <w:tcW w:w="929"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打造“科研会展”核心区</w:t>
            </w:r>
          </w:p>
          <w:p w:rsidR="008A60C7" w:rsidRDefault="008A60C7" w:rsidP="003769E9">
            <w:pPr>
              <w:spacing w:line="320" w:lineRule="exact"/>
              <w:rPr>
                <w:szCs w:val="21"/>
              </w:rPr>
            </w:pPr>
          </w:p>
        </w:tc>
        <w:tc>
          <w:tcPr>
            <w:tcW w:w="1206"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区科委（中关村延庆园管委会）</w:t>
            </w:r>
          </w:p>
        </w:tc>
        <w:tc>
          <w:tcPr>
            <w:tcW w:w="1723"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区发展改革委、区文化和旅游局、区农业农村局、区园林绿化局、</w:t>
            </w:r>
            <w:proofErr w:type="gramStart"/>
            <w:r>
              <w:rPr>
                <w:rFonts w:hint="eastAsia"/>
                <w:sz w:val="21"/>
                <w:szCs w:val="21"/>
              </w:rPr>
              <w:t>世</w:t>
            </w:r>
            <w:proofErr w:type="gramEnd"/>
            <w:r>
              <w:rPr>
                <w:rFonts w:hint="eastAsia"/>
                <w:sz w:val="21"/>
                <w:szCs w:val="21"/>
              </w:rPr>
              <w:t>园公司</w:t>
            </w:r>
          </w:p>
        </w:tc>
      </w:tr>
      <w:tr w:rsidR="008A60C7" w:rsidTr="003769E9">
        <w:trPr>
          <w:trHeight w:val="1367"/>
          <w:jc w:val="center"/>
        </w:trPr>
        <w:tc>
          <w:tcPr>
            <w:tcW w:w="387" w:type="pct"/>
            <w:vMerge/>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p>
        </w:tc>
        <w:tc>
          <w:tcPr>
            <w:tcW w:w="753" w:type="pct"/>
            <w:vMerge/>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p>
        </w:tc>
        <w:tc>
          <w:tcPr>
            <w:tcW w:w="929"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培育“专精特新”产业园</w:t>
            </w:r>
          </w:p>
          <w:p w:rsidR="008A60C7" w:rsidRDefault="008A60C7" w:rsidP="003769E9">
            <w:pPr>
              <w:spacing w:line="320" w:lineRule="exact"/>
              <w:rPr>
                <w:szCs w:val="21"/>
              </w:rPr>
            </w:pPr>
          </w:p>
        </w:tc>
        <w:tc>
          <w:tcPr>
            <w:tcW w:w="1206"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区农业农村局</w:t>
            </w:r>
          </w:p>
        </w:tc>
        <w:tc>
          <w:tcPr>
            <w:tcW w:w="1723"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区园林绿化局、区科委（中关村延庆园管委会）、区文化和旅游局、市规划自然资源委延庆分局、各相关乡镇</w:t>
            </w:r>
          </w:p>
        </w:tc>
      </w:tr>
      <w:tr w:rsidR="008A60C7" w:rsidTr="003769E9">
        <w:trPr>
          <w:trHeight w:val="2073"/>
          <w:jc w:val="center"/>
        </w:trPr>
        <w:tc>
          <w:tcPr>
            <w:tcW w:w="387" w:type="pct"/>
            <w:vMerge w:val="restar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ind w:firstLineChars="100" w:firstLine="210"/>
              <w:rPr>
                <w:szCs w:val="21"/>
              </w:rPr>
            </w:pPr>
            <w:r>
              <w:rPr>
                <w:sz w:val="21"/>
                <w:szCs w:val="21"/>
              </w:rPr>
              <w:t>5</w:t>
            </w:r>
          </w:p>
        </w:tc>
        <w:tc>
          <w:tcPr>
            <w:tcW w:w="753" w:type="pct"/>
            <w:vMerge w:val="restar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深化改革，完善产业发展的体制机制</w:t>
            </w:r>
          </w:p>
          <w:p w:rsidR="008A60C7" w:rsidRDefault="008A60C7" w:rsidP="003769E9">
            <w:pPr>
              <w:spacing w:line="320" w:lineRule="exact"/>
              <w:rPr>
                <w:szCs w:val="21"/>
              </w:rPr>
            </w:pPr>
          </w:p>
        </w:tc>
        <w:tc>
          <w:tcPr>
            <w:tcW w:w="929"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强力整合各方资源</w:t>
            </w:r>
          </w:p>
        </w:tc>
        <w:tc>
          <w:tcPr>
            <w:tcW w:w="1206"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区发展改革委</w:t>
            </w:r>
          </w:p>
        </w:tc>
        <w:tc>
          <w:tcPr>
            <w:tcW w:w="1723"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区科委（中关村延庆园管委会）、区委组织部、区财政局、区人力资源社会保障局、区农业农村局、区园林绿化局、区经济和信息化局、市规划自然资源委延庆分局</w:t>
            </w:r>
            <w:r>
              <w:rPr>
                <w:rFonts w:hint="eastAsia"/>
                <w:sz w:val="21"/>
                <w:szCs w:val="21"/>
              </w:rPr>
              <w:t xml:space="preserve">  </w:t>
            </w:r>
          </w:p>
        </w:tc>
      </w:tr>
      <w:tr w:rsidR="008A60C7" w:rsidTr="003769E9">
        <w:trPr>
          <w:trHeight w:val="1473"/>
          <w:jc w:val="center"/>
        </w:trPr>
        <w:tc>
          <w:tcPr>
            <w:tcW w:w="387" w:type="pct"/>
            <w:vMerge/>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p>
        </w:tc>
        <w:tc>
          <w:tcPr>
            <w:tcW w:w="753" w:type="pct"/>
            <w:vMerge/>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p>
        </w:tc>
        <w:tc>
          <w:tcPr>
            <w:tcW w:w="929"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完善重点项目服务机制</w:t>
            </w:r>
          </w:p>
        </w:tc>
        <w:tc>
          <w:tcPr>
            <w:tcW w:w="1206"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区科委（中关村延庆园管委会）</w:t>
            </w:r>
          </w:p>
        </w:tc>
        <w:tc>
          <w:tcPr>
            <w:tcW w:w="1723"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区发展改革委、区财政局、区人力资源社会保障局、区农业农村局、区园林绿化局、市规划自然资源委延庆分局、各相关乡镇</w:t>
            </w:r>
          </w:p>
        </w:tc>
      </w:tr>
      <w:tr w:rsidR="008A60C7" w:rsidTr="003769E9">
        <w:trPr>
          <w:trHeight w:val="1170"/>
          <w:jc w:val="center"/>
        </w:trPr>
        <w:tc>
          <w:tcPr>
            <w:tcW w:w="387" w:type="pct"/>
            <w:vMerge/>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p>
        </w:tc>
        <w:tc>
          <w:tcPr>
            <w:tcW w:w="753" w:type="pct"/>
            <w:vMerge/>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p>
        </w:tc>
        <w:tc>
          <w:tcPr>
            <w:tcW w:w="929"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不断提升社会参与度</w:t>
            </w:r>
          </w:p>
        </w:tc>
        <w:tc>
          <w:tcPr>
            <w:tcW w:w="1206"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区科委（中关村延庆园管委会）</w:t>
            </w:r>
          </w:p>
        </w:tc>
        <w:tc>
          <w:tcPr>
            <w:tcW w:w="1723" w:type="pct"/>
            <w:tcBorders>
              <w:top w:val="single" w:sz="4" w:space="0" w:color="auto"/>
              <w:left w:val="single" w:sz="4" w:space="0" w:color="auto"/>
              <w:bottom w:val="single" w:sz="4" w:space="0" w:color="auto"/>
              <w:right w:val="single" w:sz="4" w:space="0" w:color="auto"/>
            </w:tcBorders>
            <w:vAlign w:val="center"/>
          </w:tcPr>
          <w:p w:rsidR="008A60C7" w:rsidRDefault="008A60C7" w:rsidP="003769E9">
            <w:pPr>
              <w:spacing w:line="320" w:lineRule="exact"/>
              <w:rPr>
                <w:szCs w:val="21"/>
              </w:rPr>
            </w:pPr>
            <w:r>
              <w:rPr>
                <w:rFonts w:hint="eastAsia"/>
                <w:sz w:val="21"/>
                <w:szCs w:val="21"/>
              </w:rPr>
              <w:t>区委组织部、区人力资源社会保障局、区农业农村局、区园林绿化局、区财政局</w:t>
            </w:r>
          </w:p>
        </w:tc>
      </w:tr>
    </w:tbl>
    <w:p w:rsidR="008A60C7" w:rsidRDefault="008A60C7" w:rsidP="008A60C7">
      <w:pPr>
        <w:pStyle w:val="a3"/>
        <w:adjustRightInd w:val="0"/>
        <w:snapToGrid w:val="0"/>
        <w:spacing w:after="0" w:line="560" w:lineRule="exact"/>
        <w:rPr>
          <w:rFonts w:ascii="黑体" w:eastAsia="黑体" w:hAnsi="黑体" w:cs="黑体"/>
          <w:sz w:val="32"/>
          <w:szCs w:val="32"/>
        </w:rPr>
      </w:pPr>
    </w:p>
    <w:p w:rsidR="00012FD9" w:rsidRPr="008A60C7" w:rsidRDefault="008A60C7"/>
    <w:sectPr w:rsidR="00012FD9" w:rsidRPr="008A60C7" w:rsidSect="00352D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charset w:val="86"/>
    <w:family w:val="auto"/>
    <w:pitch w:val="default"/>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5F49AC"/>
    <w:multiLevelType w:val="singleLevel"/>
    <w:tmpl w:val="AC5F49AC"/>
    <w:lvl w:ilvl="0">
      <w:start w:val="3"/>
      <w:numFmt w:val="chineseCounting"/>
      <w:suff w:val="nothing"/>
      <w:lvlText w:val="（%1）"/>
      <w:lvlJc w:val="left"/>
      <w:pPr>
        <w:ind w:left="0" w:firstLine="0"/>
      </w:pPr>
    </w:lvl>
  </w:abstractNum>
  <w:num w:numId="1">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60C7"/>
    <w:rsid w:val="001C7DFA"/>
    <w:rsid w:val="00322037"/>
    <w:rsid w:val="00352D54"/>
    <w:rsid w:val="003A0D2A"/>
    <w:rsid w:val="008A60C7"/>
    <w:rsid w:val="00F60D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C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8A60C7"/>
    <w:pPr>
      <w:spacing w:after="120"/>
    </w:pPr>
  </w:style>
  <w:style w:type="character" w:customStyle="1" w:styleId="Char">
    <w:name w:val="正文文本 Char"/>
    <w:basedOn w:val="a0"/>
    <w:link w:val="a3"/>
    <w:rsid w:val="008A60C7"/>
    <w:rPr>
      <w:rFonts w:ascii="Times New Roman" w:eastAsia="宋体" w:hAnsi="Times New Roman" w:cs="Times New Roman"/>
      <w:szCs w:val="20"/>
    </w:rPr>
  </w:style>
  <w:style w:type="table" w:styleId="a4">
    <w:name w:val="Table Grid"/>
    <w:basedOn w:val="a1"/>
    <w:uiPriority w:val="99"/>
    <w:unhideWhenUsed/>
    <w:qFormat/>
    <w:rsid w:val="008A60C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标题一"/>
    <w:basedOn w:val="a6"/>
    <w:qFormat/>
    <w:rsid w:val="008A60C7"/>
    <w:pPr>
      <w:widowControl/>
      <w:spacing w:before="100" w:beforeAutospacing="1" w:after="100" w:afterAutospacing="1" w:line="360" w:lineRule="auto"/>
      <w:jc w:val="left"/>
    </w:pPr>
    <w:rPr>
      <w:rFonts w:asciiTheme="minorEastAsia" w:eastAsia="黑体" w:hAnsiTheme="minorEastAsia" w:cstheme="minorEastAsia"/>
      <w:bCs/>
      <w:kern w:val="0"/>
      <w:sz w:val="32"/>
      <w:szCs w:val="20"/>
    </w:rPr>
  </w:style>
  <w:style w:type="character" w:customStyle="1" w:styleId="NormalCharacter">
    <w:name w:val="NormalCharacter"/>
    <w:semiHidden/>
    <w:qFormat/>
    <w:rsid w:val="008A60C7"/>
  </w:style>
  <w:style w:type="character" w:customStyle="1" w:styleId="a7">
    <w:name w:val="正文补 字符"/>
    <w:basedOn w:val="a0"/>
    <w:link w:val="a8"/>
    <w:qFormat/>
    <w:locked/>
    <w:rsid w:val="008A60C7"/>
    <w:rPr>
      <w:rFonts w:asciiTheme="minorEastAsia" w:eastAsia="仿宋_GB2312" w:hAnsiTheme="minorEastAsia" w:cstheme="minorEastAsia"/>
      <w:color w:val="222222"/>
      <w:sz w:val="32"/>
      <w:szCs w:val="21"/>
      <w:shd w:val="clear" w:color="auto" w:fill="FFFFFF"/>
    </w:rPr>
  </w:style>
  <w:style w:type="paragraph" w:customStyle="1" w:styleId="a8">
    <w:name w:val="正文补"/>
    <w:basedOn w:val="a"/>
    <w:link w:val="a7"/>
    <w:qFormat/>
    <w:rsid w:val="008A60C7"/>
    <w:pPr>
      <w:widowControl/>
      <w:shd w:val="clear" w:color="auto" w:fill="FFFFFF"/>
      <w:spacing w:line="560" w:lineRule="exact"/>
      <w:ind w:firstLineChars="200" w:firstLine="200"/>
    </w:pPr>
    <w:rPr>
      <w:rFonts w:asciiTheme="minorEastAsia" w:eastAsia="仿宋_GB2312" w:hAnsiTheme="minorEastAsia" w:cstheme="minorEastAsia"/>
      <w:color w:val="222222"/>
      <w:sz w:val="32"/>
      <w:szCs w:val="21"/>
    </w:rPr>
  </w:style>
  <w:style w:type="character" w:customStyle="1" w:styleId="fontstyle01">
    <w:name w:val="fontstyle01"/>
    <w:basedOn w:val="a0"/>
    <w:qFormat/>
    <w:rsid w:val="008A60C7"/>
    <w:rPr>
      <w:rFonts w:ascii="仿宋_GB2312" w:eastAsia="仿宋_GB2312" w:hint="eastAsia"/>
      <w:color w:val="000000"/>
      <w:sz w:val="32"/>
      <w:szCs w:val="32"/>
    </w:rPr>
  </w:style>
  <w:style w:type="table" w:customStyle="1" w:styleId="1">
    <w:name w:val="网格型1"/>
    <w:basedOn w:val="a1"/>
    <w:uiPriority w:val="39"/>
    <w:qFormat/>
    <w:rsid w:val="008A60C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8A60C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1045</Words>
  <Characters>5960</Characters>
  <Application>Microsoft Office Word</Application>
  <DocSecurity>0</DocSecurity>
  <Lines>49</Lines>
  <Paragraphs>13</Paragraphs>
  <ScaleCrop>false</ScaleCrop>
  <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2021-12-30T06:21:00Z</dcterms:created>
  <dcterms:modified xsi:type="dcterms:W3CDTF">2021-12-30T06:21:00Z</dcterms:modified>
</cp:coreProperties>
</file>