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方正小标宋_GBK" w:hAnsi="方正小标宋_GBK" w:eastAsia="方正小标宋_GBK" w:cs="方正小标宋_GBK"/>
          <w:bCs/>
          <w:kern w:val="10"/>
          <w:sz w:val="44"/>
          <w:szCs w:val="44"/>
          <w:lang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楷体" w:hAnsi="楷体" w:eastAsia="楷体" w:cs="楷体"/>
                                <w:b w:val="0"/>
                                <w:bCs/>
                                <w:color w:val="FF0000"/>
                                <w:w w:val="46"/>
                                <w:sz w:val="40"/>
                                <w:szCs w:val="40"/>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p>
                          <w:p>
                            <w:pPr>
                              <w:jc w:val="center"/>
                              <w:rPr>
                                <w:rFonts w:hint="eastAsia" w:ascii="方正小标宋_GBK" w:hAnsi="方正小标宋_GBK" w:eastAsia="方正小标宋_GBK" w:cs="方正小标宋_GBK"/>
                                <w:b w:val="0"/>
                                <w:bCs/>
                                <w:color w:val="FF0000"/>
                                <w:w w:val="46"/>
                                <w:sz w:val="116"/>
                                <w:szCs w:val="116"/>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ascii="方正小标宋_GBK" w:hAnsi="方正小标宋_GBK" w:eastAsia="方正小标宋_GBK" w:cs="方正小标宋_GBK"/>
                                <w:b w:val="0"/>
                                <w:bCs/>
                                <w:color w:val="FF0000"/>
                                <w:w w:val="46"/>
                                <w:sz w:val="116"/>
                                <w:szCs w:val="116"/>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南京市雨花台区人民政府办公室文件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58240;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OckudEAAAAFAQAADwAAAAAA&#10;AAABACAAAAAiAAAAZHJzL2Rvd25yZXYueG1sUEsBAhQAFAAAAAgAh07iQKqN5HoaAgAAFwQAAA4A&#10;AAAAAAAAAQAgAAAAIAEAAGRycy9lMm9Eb2MueG1sUEsFBgAAAAAGAAYAWQEAAKwFAAAAAA==&#10;">
                <v:fill on="f" focussize="0,0"/>
                <v:stroke on="f" weight="0.5pt"/>
                <v:imagedata o:title=""/>
                <o:lock v:ext="edit" aspectratio="f"/>
                <v:textbox style="mso-fit-shape-to-text:t;">
                  <w:txbxContent>
                    <w:p>
                      <w:pPr>
                        <w:jc w:val="both"/>
                        <w:rPr>
                          <w:rFonts w:hint="eastAsia" w:ascii="楷体" w:hAnsi="楷体" w:eastAsia="楷体" w:cs="楷体"/>
                          <w:b w:val="0"/>
                          <w:bCs/>
                          <w:color w:val="FF0000"/>
                          <w:w w:val="46"/>
                          <w:sz w:val="40"/>
                          <w:szCs w:val="40"/>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p>
                    <w:p>
                      <w:pPr>
                        <w:jc w:val="center"/>
                        <w:rPr>
                          <w:rFonts w:hint="eastAsia" w:ascii="方正小标宋_GBK" w:hAnsi="方正小标宋_GBK" w:eastAsia="方正小标宋_GBK" w:cs="方正小标宋_GBK"/>
                          <w:b w:val="0"/>
                          <w:bCs/>
                          <w:color w:val="FF0000"/>
                          <w:w w:val="46"/>
                          <w:sz w:val="116"/>
                          <w:szCs w:val="116"/>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ascii="方正小标宋_GBK" w:hAnsi="方正小标宋_GBK" w:eastAsia="方正小标宋_GBK" w:cs="方正小标宋_GBK"/>
                          <w:b w:val="0"/>
                          <w:bCs/>
                          <w:color w:val="FF0000"/>
                          <w:w w:val="46"/>
                          <w:sz w:val="116"/>
                          <w:szCs w:val="116"/>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南京市雨花台区人民政府办公室文件</w:t>
                      </w:r>
                    </w:p>
                  </w:txbxContent>
                </v:textbox>
              </v:shape>
            </w:pict>
          </mc:Fallback>
        </mc:AlternateContent>
      </w:r>
    </w:p>
    <w:p>
      <w:pPr>
        <w:snapToGrid w:val="0"/>
        <w:spacing w:line="520" w:lineRule="exact"/>
        <w:jc w:val="center"/>
        <w:rPr>
          <w:rFonts w:hint="eastAsia" w:ascii="方正小标宋_GBK" w:hAnsi="方正小标宋_GBK" w:eastAsia="方正小标宋_GBK" w:cs="方正小标宋_GBK"/>
          <w:bCs/>
          <w:kern w:val="10"/>
          <w:sz w:val="44"/>
          <w:szCs w:val="44"/>
          <w:lang w:eastAsia="zh-CN"/>
        </w:rPr>
      </w:pPr>
    </w:p>
    <w:p>
      <w:pPr>
        <w:snapToGrid w:val="0"/>
        <w:spacing w:line="520" w:lineRule="exact"/>
        <w:jc w:val="center"/>
        <w:rPr>
          <w:rFonts w:hint="eastAsia" w:ascii="方正小标宋_GBK" w:hAnsi="方正小标宋_GBK" w:eastAsia="方正小标宋_GBK" w:cs="方正小标宋_GBK"/>
          <w:bCs/>
          <w:kern w:val="10"/>
          <w:sz w:val="44"/>
          <w:szCs w:val="44"/>
          <w:lang w:eastAsia="zh-CN"/>
        </w:rPr>
      </w:pPr>
    </w:p>
    <w:p>
      <w:pPr>
        <w:snapToGrid w:val="0"/>
        <w:spacing w:line="520" w:lineRule="exact"/>
        <w:jc w:val="center"/>
        <w:rPr>
          <w:rFonts w:hint="eastAsia" w:ascii="方正小标宋_GBK" w:hAnsi="方正小标宋_GBK" w:eastAsia="方正小标宋_GBK" w:cs="方正小标宋_GBK"/>
          <w:bCs/>
          <w:kern w:val="10"/>
          <w:sz w:val="44"/>
          <w:szCs w:val="44"/>
          <w:lang w:eastAsia="zh-CN"/>
        </w:rPr>
      </w:pPr>
    </w:p>
    <w:p>
      <w:pPr>
        <w:snapToGrid w:val="0"/>
        <w:spacing w:line="520" w:lineRule="exact"/>
        <w:jc w:val="center"/>
        <w:rPr>
          <w:rFonts w:hint="eastAsia" w:ascii="方正小标宋_GBK" w:hAnsi="方正小标宋_GBK" w:eastAsia="方正小标宋_GBK" w:cs="方正小标宋_GBK"/>
          <w:bCs/>
          <w:kern w:val="10"/>
          <w:sz w:val="44"/>
          <w:szCs w:val="44"/>
          <w:lang w:eastAsia="zh-CN"/>
        </w:rPr>
      </w:pPr>
    </w:p>
    <w:p>
      <w:pPr>
        <w:snapToGrid w:val="0"/>
        <w:spacing w:line="520" w:lineRule="exact"/>
        <w:jc w:val="center"/>
        <w:rPr>
          <w:rFonts w:hint="eastAsia" w:ascii="方正小标宋_GBK" w:hAnsi="方正小标宋_GBK" w:eastAsia="方正小标宋_GBK" w:cs="方正小标宋_GBK"/>
          <w:bCs/>
          <w:kern w:val="10"/>
          <w:sz w:val="44"/>
          <w:szCs w:val="44"/>
          <w:lang w:eastAsia="zh-CN"/>
        </w:rPr>
      </w:pPr>
    </w:p>
    <w:p>
      <w:pPr>
        <w:snapToGrid w:val="0"/>
        <w:spacing w:line="520" w:lineRule="exact"/>
        <w:jc w:val="center"/>
        <w:rPr>
          <w:rFonts w:hint="eastAsia" w:ascii="方正小标宋_GBK" w:hAnsi="方正小标宋_GBK" w:eastAsia="方正小标宋_GBK" w:cs="方正小标宋_GBK"/>
          <w:bCs/>
          <w:kern w:val="10"/>
          <w:sz w:val="44"/>
          <w:szCs w:val="44"/>
          <w:lang w:eastAsia="zh-CN"/>
        </w:rPr>
      </w:pPr>
      <w:r>
        <w:rPr>
          <w:rFonts w:hint="eastAsia" w:ascii="方正仿宋_GBK" w:hAnsi="方正仿宋_GBK" w:eastAsia="方正仿宋_GBK" w:cs="方正仿宋_GBK"/>
          <w:sz w:val="32"/>
          <w:szCs w:val="32"/>
        </w:rPr>
        <w:t>雨政办发﹝</w:t>
      </w:r>
      <w:r>
        <w:rPr>
          <w:rFonts w:ascii="Times New Roman" w:hAnsi="Times New Roman" w:eastAsia="方正仿宋_GBK"/>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41</w:t>
      </w:r>
      <w:r>
        <w:rPr>
          <w:rFonts w:hint="eastAsia" w:ascii="方正仿宋_GBK" w:hAnsi="方正仿宋_GBK" w:eastAsia="方正仿宋_GBK" w:cs="方正仿宋_GBK"/>
          <w:sz w:val="32"/>
          <w:szCs w:val="32"/>
        </w:rPr>
        <w:t>号</w:t>
      </w:r>
    </w:p>
    <w:p>
      <w:pPr>
        <w:snapToGrid w:val="0"/>
        <w:spacing w:line="520" w:lineRule="exact"/>
        <w:jc w:val="center"/>
        <w:rPr>
          <w:rFonts w:hint="eastAsia" w:ascii="方正小标宋_GBK" w:hAnsi="方正小标宋_GBK" w:eastAsia="方正小标宋_GBK" w:cs="方正小标宋_GBK"/>
          <w:bCs/>
          <w:kern w:val="10"/>
          <w:sz w:val="44"/>
          <w:szCs w:val="44"/>
          <w:lang w:eastAsia="zh-CN"/>
        </w:rPr>
      </w:pPr>
      <w:r>
        <w:rPr>
          <w:rFonts w:ascii="Times New Roman"/>
        </w:rPr>
        <w:object>
          <v:shape id="_x0000_i1028" o:spt="75" alt="5640207221418260095734" type="#_x0000_t75" style="height:6.85pt;width:453pt;" o:ole="t" filled="f" o:preferrelative="t" stroked="f" coordsize="21600,21600">
            <v:path/>
            <v:fill on="f" focussize="0,0"/>
            <v:stroke on="f"/>
            <v:imagedata r:id="rId19" o:title="5640207221418260095734"/>
            <o:lock v:ext="edit" aspectratio="t"/>
            <w10:wrap type="none"/>
            <w10:anchorlock/>
          </v:shape>
          <o:OLEObject Type="Embed" ProgID="Word.Picture.8" ShapeID="_x0000_i1028" DrawAspect="Content" ObjectID="_1468075725" r:id="rId18">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Cs/>
          <w:kern w:val="10"/>
          <w:sz w:val="44"/>
          <w:szCs w:val="44"/>
          <w:lang w:eastAsia="zh-CN"/>
        </w:rPr>
        <w:t>区政府办公室关于印发《</w:t>
      </w:r>
      <w:r>
        <w:rPr>
          <w:rFonts w:hint="eastAsia" w:ascii="方正小标宋_GBK" w:hAnsi="方正小标宋_GBK" w:eastAsia="方正小标宋_GBK" w:cs="方正小标宋_GBK"/>
          <w:bCs/>
          <w:kern w:val="10"/>
          <w:sz w:val="44"/>
          <w:szCs w:val="44"/>
        </w:rPr>
        <w:t>雨花台区</w:t>
      </w:r>
      <w:r>
        <w:rPr>
          <w:rFonts w:hint="eastAsia" w:ascii="方正小标宋_GBK" w:hAnsi="方正小标宋_GBK" w:eastAsia="方正小标宋_GBK" w:cs="方正小标宋_GBK"/>
          <w:sz w:val="44"/>
          <w:szCs w:val="44"/>
        </w:rPr>
        <w:t>“不见面审批</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改革实施方案</w:t>
      </w:r>
      <w:r>
        <w:rPr>
          <w:rFonts w:hint="eastAsia" w:ascii="方正小标宋_GBK" w:hAnsi="方正小标宋_GBK" w:eastAsia="方正小标宋_GBK" w:cs="方正小标宋_GBK"/>
          <w:sz w:val="44"/>
          <w:szCs w:val="44"/>
          <w:lang w:eastAsia="zh-CN"/>
        </w:rPr>
        <w:t>》的通知</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各街道办事处、各园区管委会，</w:t>
      </w:r>
      <w:bookmarkStart w:id="0" w:name="_GoBack"/>
      <w:bookmarkEnd w:id="0"/>
      <w:r>
        <w:rPr>
          <w:rFonts w:hint="eastAsia" w:ascii="方正仿宋_GBK" w:hAnsi="方正仿宋_GBK" w:eastAsia="方正仿宋_GBK" w:cs="方正仿宋_GBK"/>
          <w:sz w:val="32"/>
          <w:szCs w:val="32"/>
        </w:rPr>
        <w:t>软件谷、南站综管办、区政府各部门，各有关单位：</w:t>
      </w:r>
    </w:p>
    <w:p>
      <w:pPr>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经区政府同意，现将《雨花台区“不见面审批”改革实施方案》印发给你们，请结合实际，认真贯彻执行。</w:t>
      </w:r>
    </w:p>
    <w:p>
      <w:pPr>
        <w:ind w:firstLine="640"/>
        <w:jc w:val="left"/>
        <w:rPr>
          <w:rFonts w:hint="eastAsia" w:ascii="方正仿宋_GBK" w:hAnsi="方正仿宋_GBK" w:eastAsia="方正仿宋_GBK" w:cs="方正仿宋_GBK"/>
          <w:sz w:val="32"/>
          <w:szCs w:val="32"/>
          <w:lang w:val="en-US" w:eastAsia="zh-CN"/>
        </w:rPr>
      </w:pPr>
    </w:p>
    <w:p>
      <w:pPr>
        <w:ind w:firstLine="640"/>
        <w:jc w:val="left"/>
        <w:rPr>
          <w:rFonts w:hint="eastAsia" w:ascii="方正仿宋_GBK" w:hAnsi="方正仿宋_GBK" w:eastAsia="方正仿宋_GBK" w:cs="方正仿宋_GBK"/>
          <w:sz w:val="32"/>
          <w:szCs w:val="32"/>
          <w:lang w:val="en-US" w:eastAsia="zh-CN"/>
        </w:rPr>
      </w:pPr>
    </w:p>
    <w:p>
      <w:pPr>
        <w:ind w:firstLine="64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南京市雨花台区人民政府办公室</w:t>
      </w:r>
    </w:p>
    <w:p>
      <w:pPr>
        <w:ind w:firstLine="640"/>
        <w:jc w:val="right"/>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2017</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spacing w:line="520" w:lineRule="exact"/>
        <w:ind w:firstLine="640" w:firstLineChars="200"/>
        <w:rPr>
          <w:rFonts w:hint="eastAsia" w:eastAsia="仿宋_GB2312"/>
          <w:sz w:val="32"/>
          <w:szCs w:val="32"/>
        </w:rPr>
      </w:pPr>
    </w:p>
    <w:p>
      <w:pPr>
        <w:spacing w:line="520" w:lineRule="exact"/>
        <w:ind w:firstLine="880" w:firstLineChars="200"/>
        <w:jc w:val="center"/>
        <w:rPr>
          <w:rFonts w:hint="eastAsia" w:ascii="方正小标宋_GBK" w:hAnsi="方正小标宋_GBK" w:eastAsia="方正小标宋_GBK" w:cs="方正小标宋_GBK"/>
          <w:bCs/>
          <w:kern w:val="10"/>
          <w:sz w:val="44"/>
          <w:szCs w:val="44"/>
        </w:rPr>
        <w:sectPr>
          <w:headerReference r:id="rId3" w:type="default"/>
          <w:footerReference r:id="rId5" w:type="default"/>
          <w:headerReference r:id="rId4" w:type="even"/>
          <w:footerReference r:id="rId6" w:type="even"/>
          <w:pgSz w:w="11906" w:h="16838"/>
          <w:pgMar w:top="2098" w:right="1588" w:bottom="1701" w:left="1588" w:header="851" w:footer="992" w:gutter="0"/>
          <w:pgNumType w:fmt="numberInDash"/>
          <w:cols w:space="720" w:num="1"/>
          <w:docGrid w:type="lines" w:linePitch="318" w:charSpace="0"/>
        </w:sectPr>
      </w:pPr>
    </w:p>
    <w:p>
      <w:pPr>
        <w:spacing w:line="520" w:lineRule="exact"/>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10"/>
          <w:sz w:val="44"/>
          <w:szCs w:val="44"/>
        </w:rPr>
        <w:t>雨花台区</w:t>
      </w:r>
      <w:r>
        <w:rPr>
          <w:rFonts w:hint="eastAsia" w:ascii="方正小标宋_GBK" w:hAnsi="方正小标宋_GBK" w:eastAsia="方正小标宋_GBK" w:cs="方正小标宋_GBK"/>
          <w:sz w:val="44"/>
          <w:szCs w:val="44"/>
        </w:rPr>
        <w:t>“不见面审批</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改革实施方案</w:t>
      </w:r>
    </w:p>
    <w:p>
      <w:pPr>
        <w:spacing w:line="520" w:lineRule="exact"/>
        <w:ind w:firstLine="880" w:firstLineChars="200"/>
        <w:jc w:val="center"/>
        <w:rPr>
          <w:rFonts w:hint="eastAsia" w:ascii="方正小标宋_GBK" w:hAnsi="方正小标宋_GBK" w:eastAsia="方正小标宋_GBK" w:cs="方正小标宋_GBK"/>
          <w:sz w:val="44"/>
          <w:szCs w:val="44"/>
        </w:rPr>
      </w:pPr>
    </w:p>
    <w:p>
      <w:pPr>
        <w:spacing w:line="520" w:lineRule="exact"/>
        <w:ind w:firstLine="640" w:firstLineChars="200"/>
        <w:jc w:val="left"/>
        <w:rPr>
          <w:rFonts w:eastAsia="仿宋_GB2312"/>
          <w:sz w:val="32"/>
          <w:szCs w:val="32"/>
        </w:rPr>
      </w:pPr>
      <w:r>
        <w:rPr>
          <w:rFonts w:hint="eastAsia" w:eastAsia="仿宋_GB2312"/>
          <w:sz w:val="32"/>
          <w:szCs w:val="32"/>
        </w:rPr>
        <w:t>为进一步提升行政审批效率，切实方便群众、企业办事，营造更优政务服务环境，根据《省委、省政府关于深化行政审批制度改革加快简政放权激发市场活力的意见</w:t>
      </w:r>
      <w:r>
        <w:rPr>
          <w:rFonts w:hint="eastAsia" w:eastAsia="仿宋_GB2312"/>
          <w:sz w:val="32"/>
          <w:szCs w:val="32"/>
          <w:lang w:eastAsia="zh-CN"/>
        </w:rPr>
        <w:t>》（</w:t>
      </w:r>
      <w:r>
        <w:rPr>
          <w:rFonts w:hint="eastAsia" w:eastAsia="仿宋_GB2312"/>
          <w:sz w:val="32"/>
          <w:szCs w:val="32"/>
        </w:rPr>
        <w:t>苏发〔</w:t>
      </w:r>
      <w:r>
        <w:rPr>
          <w:rFonts w:eastAsia="仿宋_GB2312"/>
          <w:sz w:val="32"/>
          <w:szCs w:val="32"/>
        </w:rPr>
        <w:t>2016</w:t>
      </w:r>
      <w:r>
        <w:rPr>
          <w:rFonts w:hint="eastAsia" w:eastAsia="仿宋_GB2312"/>
          <w:sz w:val="32"/>
          <w:szCs w:val="32"/>
        </w:rPr>
        <w:t>〕</w:t>
      </w:r>
      <w:r>
        <w:rPr>
          <w:rFonts w:eastAsia="仿宋_GB2312"/>
          <w:sz w:val="32"/>
          <w:szCs w:val="32"/>
        </w:rPr>
        <w:t>42</w:t>
      </w:r>
      <w:r>
        <w:rPr>
          <w:rFonts w:hint="eastAsia" w:eastAsia="仿宋_GB2312"/>
          <w:sz w:val="32"/>
          <w:szCs w:val="32"/>
        </w:rPr>
        <w:t>号）和《南京市</w:t>
      </w:r>
      <w:r>
        <w:rPr>
          <w:rFonts w:eastAsia="仿宋_GB2312"/>
          <w:sz w:val="32"/>
          <w:szCs w:val="32"/>
        </w:rPr>
        <w:t>“</w:t>
      </w:r>
      <w:r>
        <w:rPr>
          <w:rFonts w:hint="eastAsia" w:eastAsia="仿宋_GB2312"/>
          <w:sz w:val="32"/>
          <w:szCs w:val="32"/>
        </w:rPr>
        <w:t>互联网＋政务服务</w:t>
      </w:r>
      <w:r>
        <w:rPr>
          <w:rFonts w:eastAsia="仿宋_GB2312"/>
          <w:sz w:val="32"/>
          <w:szCs w:val="32"/>
        </w:rPr>
        <w:t>”</w:t>
      </w:r>
      <w:r>
        <w:rPr>
          <w:rFonts w:hint="eastAsia" w:eastAsia="仿宋_GB2312"/>
          <w:sz w:val="32"/>
          <w:szCs w:val="32"/>
          <w:lang w:eastAsia="zh-CN"/>
        </w:rPr>
        <w:t>实施方案》（宁政</w:t>
      </w:r>
      <w:r>
        <w:rPr>
          <w:rFonts w:hint="eastAsia" w:eastAsia="仿宋_GB2312"/>
          <w:sz w:val="32"/>
          <w:szCs w:val="32"/>
        </w:rPr>
        <w:t>发〔</w:t>
      </w:r>
      <w:r>
        <w:rPr>
          <w:rFonts w:eastAsia="仿宋_GB2312"/>
          <w:sz w:val="32"/>
          <w:szCs w:val="32"/>
        </w:rPr>
        <w:t>2017</w:t>
      </w:r>
      <w:r>
        <w:rPr>
          <w:rFonts w:hint="eastAsia" w:eastAsia="仿宋_GB2312"/>
          <w:sz w:val="32"/>
          <w:szCs w:val="32"/>
        </w:rPr>
        <w:t>〕</w:t>
      </w:r>
      <w:r>
        <w:rPr>
          <w:rFonts w:eastAsia="仿宋_GB2312"/>
          <w:sz w:val="32"/>
          <w:szCs w:val="32"/>
        </w:rPr>
        <w:t>2</w:t>
      </w:r>
      <w:r>
        <w:rPr>
          <w:rFonts w:hint="eastAsia" w:eastAsia="仿宋_GB2312"/>
          <w:sz w:val="32"/>
          <w:szCs w:val="32"/>
        </w:rPr>
        <w:t>号）等文件精神，现就推进我区</w:t>
      </w:r>
      <w:r>
        <w:rPr>
          <w:rFonts w:eastAsia="仿宋_GB2312"/>
          <w:sz w:val="32"/>
          <w:szCs w:val="32"/>
        </w:rPr>
        <w:t>“</w:t>
      </w:r>
      <w:r>
        <w:rPr>
          <w:rFonts w:hint="eastAsia" w:eastAsia="仿宋_GB2312"/>
          <w:sz w:val="32"/>
          <w:szCs w:val="32"/>
        </w:rPr>
        <w:t>不见面审批</w:t>
      </w:r>
      <w:r>
        <w:rPr>
          <w:rFonts w:hint="eastAsia" w:eastAsia="仿宋_GB2312"/>
          <w:sz w:val="32"/>
          <w:szCs w:val="32"/>
          <w:lang w:eastAsia="zh-CN"/>
        </w:rPr>
        <w:t>”</w:t>
      </w:r>
      <w:r>
        <w:rPr>
          <w:rFonts w:hint="eastAsia" w:eastAsia="仿宋_GB2312"/>
          <w:sz w:val="32"/>
          <w:szCs w:val="32"/>
        </w:rPr>
        <w:t>改革工作，制定本方案。</w:t>
      </w:r>
    </w:p>
    <w:p>
      <w:pPr>
        <w:spacing w:line="520" w:lineRule="exact"/>
        <w:rPr>
          <w:rFonts w:eastAsia="黑体"/>
          <w:sz w:val="32"/>
          <w:szCs w:val="32"/>
        </w:rPr>
      </w:pPr>
      <w:r>
        <w:rPr>
          <w:rFonts w:eastAsia="黑体"/>
          <w:sz w:val="32"/>
          <w:szCs w:val="32"/>
        </w:rPr>
        <w:t xml:space="preserve">    </w:t>
      </w:r>
      <w:r>
        <w:rPr>
          <w:rFonts w:hint="eastAsia" w:eastAsia="黑体"/>
          <w:sz w:val="32"/>
          <w:szCs w:val="32"/>
        </w:rPr>
        <w:t>一、指导思想</w:t>
      </w:r>
    </w:p>
    <w:p>
      <w:pPr>
        <w:spacing w:line="520" w:lineRule="exact"/>
        <w:ind w:firstLine="640" w:firstLineChars="200"/>
        <w:rPr>
          <w:rFonts w:ascii="仿宋_GB2312" w:eastAsia="仿宋_GB2312"/>
          <w:sz w:val="32"/>
          <w:szCs w:val="32"/>
        </w:rPr>
      </w:pPr>
      <w:r>
        <w:rPr>
          <w:rFonts w:hint="eastAsia" w:ascii="方正仿宋_GBK" w:hAnsi="方正仿宋_GBK" w:eastAsia="方正仿宋_GBK" w:cs="方正仿宋_GBK"/>
          <w:sz w:val="32"/>
          <w:szCs w:val="32"/>
        </w:rPr>
        <w:t>坚持用互联网思维推进“放管服”改革，按照全省行政审批“网上办、集中批、联合审、区域评、代办制、不见面”的改革目标，以企业、群众的需求为导向，以权责清单为边界，全面梳理公布群众和企业到政府部门“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服务的事项清单，除法律法规规定和暂不具备条件网上办理的事项外，按照“外网受理、内网办理、全程公开、快递送达、网端推送、无偿代办”的方式开展审批，切实转变政府职能、提高行政效能，改善营商环境，有效激发市场活力和社会创造力。</w:t>
      </w:r>
    </w:p>
    <w:p>
      <w:pPr>
        <w:spacing w:line="520" w:lineRule="exact"/>
        <w:ind w:firstLine="645"/>
        <w:rPr>
          <w:rFonts w:eastAsia="黑体"/>
          <w:sz w:val="32"/>
          <w:szCs w:val="32"/>
        </w:rPr>
      </w:pPr>
      <w:r>
        <w:rPr>
          <w:rFonts w:hint="eastAsia" w:eastAsia="黑体"/>
          <w:sz w:val="32"/>
          <w:szCs w:val="32"/>
        </w:rPr>
        <w:t>二、改革目标</w:t>
      </w:r>
    </w:p>
    <w:p>
      <w:pPr>
        <w:spacing w:line="520" w:lineRule="exact"/>
        <w:ind w:firstLine="640" w:firstLineChars="200"/>
        <w:rPr>
          <w:rFonts w:hint="eastAsia" w:ascii="方正仿宋_GBK" w:hAnsi="方正仿宋_GBK" w:eastAsia="方正仿宋_GBK" w:cs="方正仿宋_GBK"/>
          <w:sz w:val="32"/>
          <w:szCs w:val="32"/>
        </w:rPr>
        <w:sectPr>
          <w:footerReference r:id="rId7" w:type="default"/>
          <w:footerReference r:id="rId8" w:type="even"/>
          <w:pgSz w:w="11906" w:h="16838"/>
          <w:pgMar w:top="2098" w:right="1588" w:bottom="1701" w:left="1588" w:header="851" w:footer="992" w:gutter="0"/>
          <w:pgNumType w:fmt="decimal"/>
          <w:cols w:space="720" w:num="1"/>
          <w:docGrid w:type="lines" w:linePitch="318" w:charSpace="0"/>
        </w:sectPr>
      </w:pPr>
      <w:r>
        <w:rPr>
          <w:rFonts w:hint="eastAsia" w:ascii="方正仿宋_GBK" w:hAnsi="方正仿宋_GBK" w:eastAsia="方正仿宋_GBK" w:cs="方正仿宋_GBK"/>
          <w:sz w:val="32"/>
          <w:szCs w:val="32"/>
        </w:rPr>
        <w:t>按照“不见面审批是原则、见面审批是特例”的理念和目标，全面融入全省政务服务“一张网”建设，充分利用互联网将服务窗口、服务机制拓展延伸到</w:t>
      </w:r>
      <w:r>
        <w:rPr>
          <w:rFonts w:hint="default" w:ascii="Times New Roman" w:hAnsi="Times New Roman" w:eastAsia="方正仿宋_GBK" w:cs="Times New Roman"/>
          <w:sz w:val="32"/>
          <w:szCs w:val="32"/>
        </w:rPr>
        <w:t>PC</w:t>
      </w:r>
      <w:r>
        <w:rPr>
          <w:rFonts w:hint="eastAsia" w:ascii="方正仿宋_GBK" w:hAnsi="方正仿宋_GBK" w:eastAsia="方正仿宋_GBK" w:cs="方正仿宋_GBK"/>
          <w:sz w:val="32"/>
          <w:szCs w:val="32"/>
        </w:rPr>
        <w:t>端和移动端，建立高效便民的“不见面审批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服务平台，打造“网上政府”，让数据多走路、群众少跑腿，确保到</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月底，我区全面实现“企业</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个工作日内注册开业、</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个工作日内取得工业生产建设项目施工许可证”的“</w:t>
      </w:r>
      <w:r>
        <w:rPr>
          <w:rFonts w:hint="default" w:ascii="Times New Roman" w:hAnsi="Times New Roman" w:eastAsia="方正仿宋_GBK" w:cs="Times New Roman"/>
          <w:sz w:val="32"/>
          <w:szCs w:val="32"/>
        </w:rPr>
        <w:t>350</w:t>
      </w:r>
      <w:r>
        <w:rPr>
          <w:rFonts w:hint="eastAsia" w:ascii="方正仿宋_GBK" w:hAnsi="方正仿宋_GBK" w:eastAsia="方正仿宋_GBK" w:cs="方正仿宋_GBK"/>
          <w:sz w:val="32"/>
          <w:szCs w:val="32"/>
        </w:rPr>
        <w:t>”目标；到</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月底前，确保全区</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超过</w:t>
      </w:r>
      <w:r>
        <w:rPr>
          <w:rFonts w:hint="default"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的审批服务事项“网上办、不见面”，使企业和群众的获得感进一步增强，政府办事效率进一步提升，发展环境进一步改善。</w:t>
      </w:r>
    </w:p>
    <w:p>
      <w:pPr>
        <w:numPr>
          <w:ilvl w:val="0"/>
          <w:numId w:val="0"/>
        </w:numPr>
        <w:spacing w:line="520" w:lineRule="exact"/>
        <w:rPr>
          <w:rFonts w:ascii="仿宋_GB2312" w:eastAsia="仿宋_GB2312"/>
          <w:sz w:val="32"/>
          <w:szCs w:val="32"/>
        </w:rPr>
      </w:pPr>
      <w:r>
        <w:rPr>
          <w:rFonts w:hint="eastAsia" w:eastAsia="黑体"/>
          <w:sz w:val="32"/>
          <w:szCs w:val="32"/>
          <w:lang w:val="en-US" w:eastAsia="zh-CN"/>
        </w:rPr>
        <w:t xml:space="preserve">    </w:t>
      </w:r>
      <w:r>
        <w:rPr>
          <w:rFonts w:hint="eastAsia" w:eastAsia="黑体"/>
          <w:sz w:val="32"/>
          <w:szCs w:val="32"/>
          <w:lang w:eastAsia="zh-CN"/>
        </w:rPr>
        <w:t>三、</w:t>
      </w:r>
      <w:r>
        <w:rPr>
          <w:rFonts w:hint="eastAsia" w:eastAsia="黑体"/>
          <w:sz w:val="32"/>
          <w:szCs w:val="32"/>
        </w:rPr>
        <w:t>主要任务</w:t>
      </w:r>
    </w:p>
    <w:p>
      <w:pPr>
        <w:numPr>
          <w:ilvl w:val="0"/>
          <w:numId w:val="0"/>
        </w:numPr>
        <w:spacing w:line="520" w:lineRule="exact"/>
        <w:rPr>
          <w:rFonts w:ascii="仿宋_GB2312" w:eastAsia="仿宋_GB2312"/>
          <w:sz w:val="32"/>
          <w:szCs w:val="32"/>
        </w:rPr>
      </w:pPr>
      <w:r>
        <w:rPr>
          <w:rFonts w:hint="eastAsia" w:eastAsia="黑体"/>
          <w:sz w:val="32"/>
          <w:szCs w:val="32"/>
          <w:lang w:val="en-US" w:eastAsia="zh-CN"/>
        </w:rPr>
        <w:t xml:space="preserve">    </w:t>
      </w:r>
      <w:r>
        <w:rPr>
          <w:rFonts w:hint="eastAsia" w:ascii="楷体_GB2312" w:eastAsia="楷体_GB2312"/>
          <w:sz w:val="32"/>
          <w:szCs w:val="32"/>
        </w:rPr>
        <w:t>（一）推进网上全程办理。</w:t>
      </w:r>
      <w:r>
        <w:rPr>
          <w:rFonts w:hint="eastAsia" w:ascii="方正仿宋_GBK" w:hAnsi="方正仿宋_GBK" w:eastAsia="方正仿宋_GBK" w:cs="方正仿宋_GBK"/>
          <w:sz w:val="32"/>
          <w:szCs w:val="32"/>
        </w:rPr>
        <w:t>实行全网在线申请、同步受理审查、证照快递送达等“不见面审批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流程，除涉密或法律法规有特别规定外，基本实现审批事项网上全程办理。推进审批材料目录化、标准化、电子化，推动电子证照、电子公文、电子签章等在政务服务中的应用。进一步优化简化网上申请、受理、审查、决定、送达等流程，缩短办理时限，降低企业和群众办事成本。凡</w:t>
      </w:r>
      <w:r>
        <w:rPr>
          <w:rFonts w:hint="eastAsia" w:ascii="方正仿宋_GBK" w:hAnsi="方正仿宋_GBK" w:eastAsia="方正仿宋_GBK" w:cs="方正仿宋_GBK"/>
          <w:sz w:val="32"/>
          <w:szCs w:val="32"/>
          <w:lang w:eastAsia="zh-CN"/>
        </w:rPr>
        <w:t>是能</w:t>
      </w:r>
      <w:r>
        <w:rPr>
          <w:rFonts w:hint="eastAsia" w:ascii="方正仿宋_GBK" w:hAnsi="方正仿宋_GBK" w:eastAsia="方正仿宋_GBK" w:cs="方正仿宋_GBK"/>
          <w:sz w:val="32"/>
          <w:szCs w:val="32"/>
        </w:rPr>
        <w:t>通过网络共享复用的材料，不得要求企业和群众重复提交；凡是</w:t>
      </w:r>
      <w:r>
        <w:rPr>
          <w:rFonts w:hint="eastAsia" w:ascii="方正仿宋_GBK" w:hAnsi="方正仿宋_GBK" w:eastAsia="方正仿宋_GBK" w:cs="方正仿宋_GBK"/>
          <w:sz w:val="32"/>
          <w:szCs w:val="32"/>
          <w:lang w:eastAsia="zh-CN"/>
        </w:rPr>
        <w:t>能</w:t>
      </w:r>
      <w:r>
        <w:rPr>
          <w:rFonts w:hint="eastAsia" w:ascii="方正仿宋_GBK" w:hAnsi="方正仿宋_GBK" w:eastAsia="方正仿宋_GBK" w:cs="方正仿宋_GBK"/>
          <w:sz w:val="32"/>
          <w:szCs w:val="32"/>
        </w:rPr>
        <w:t>通过网络核验的信息，不得要求其他单位重复提供；凡是能实现网上办理的事项，不得要求必须到现场办理。开展网上监督评价、办理进度、结果实时查询。凡是群众和企业到政府办理的审批事项和公共服务事项，都可通过网上咨询，详细了解办事流程、所需材料和其他相关事项。</w:t>
      </w:r>
      <w:r>
        <w:rPr>
          <w:rFonts w:hint="eastAsia" w:ascii="仿宋_GB2312" w:eastAsia="仿宋_GB2312"/>
          <w:sz w:val="32"/>
          <w:szCs w:val="32"/>
        </w:rPr>
        <w:t>（</w:t>
      </w:r>
      <w:r>
        <w:rPr>
          <w:rFonts w:hint="eastAsia" w:eastAsia="楷体_GB2312"/>
          <w:sz w:val="32"/>
          <w:szCs w:val="32"/>
        </w:rPr>
        <w:t>责任部门</w:t>
      </w:r>
      <w:r>
        <w:rPr>
          <w:rFonts w:hint="eastAsia" w:ascii="楷体_GB2312" w:eastAsia="楷体_GB2312"/>
          <w:sz w:val="32"/>
          <w:szCs w:val="32"/>
        </w:rPr>
        <w:t>：区政务办、区编办、区发改局、</w:t>
      </w:r>
      <w:r>
        <w:rPr>
          <w:rFonts w:hint="eastAsia" w:eastAsia="楷体_GB2312"/>
          <w:sz w:val="32"/>
          <w:szCs w:val="32"/>
        </w:rPr>
        <w:t>各相关部门、各街道（园区）</w:t>
      </w:r>
      <w:r>
        <w:rPr>
          <w:rFonts w:hint="eastAsia" w:ascii="仿宋_GB2312" w:eastAsia="仿宋_GB2312"/>
          <w:sz w:val="32"/>
          <w:szCs w:val="32"/>
        </w:rPr>
        <w:t>）</w:t>
      </w:r>
    </w:p>
    <w:p>
      <w:pPr>
        <w:spacing w:line="520" w:lineRule="exact"/>
        <w:ind w:firstLine="645"/>
        <w:rPr>
          <w:rFonts w:eastAsia="仿宋_GB2312"/>
          <w:sz w:val="32"/>
          <w:szCs w:val="32"/>
        </w:rPr>
      </w:pPr>
      <w:r>
        <w:rPr>
          <w:rFonts w:hint="eastAsia" w:ascii="楷体_GB2312" w:eastAsia="楷体_GB2312"/>
          <w:sz w:val="32"/>
          <w:szCs w:val="32"/>
        </w:rPr>
        <w:t>（二）编制“不见面审批</w:t>
      </w:r>
      <w:r>
        <w:rPr>
          <w:rFonts w:hint="eastAsia" w:ascii="楷体_GB2312" w:eastAsia="楷体_GB2312"/>
          <w:sz w:val="32"/>
          <w:szCs w:val="32"/>
          <w:lang w:eastAsia="zh-CN"/>
        </w:rPr>
        <w:t>”</w:t>
      </w:r>
      <w:r>
        <w:rPr>
          <w:rFonts w:hint="eastAsia" w:ascii="楷体_GB2312" w:eastAsia="楷体_GB2312"/>
          <w:sz w:val="32"/>
          <w:szCs w:val="32"/>
        </w:rPr>
        <w:t>事项清单。</w:t>
      </w:r>
      <w:r>
        <w:rPr>
          <w:rFonts w:hint="eastAsia" w:ascii="方正仿宋_GBK" w:hAnsi="方正仿宋_GBK" w:eastAsia="方正仿宋_GBK" w:cs="方正仿宋_GBK"/>
          <w:sz w:val="32"/>
          <w:szCs w:val="32"/>
        </w:rPr>
        <w:t>对照现有区级权力事项和办事指南，全面梳理、编制和公开“不见面审批”和服务事项清单，明确“不见面审批”项目（含子项）名称、办理要件、申请材料（含表单模板）、办理流程、办理时限、收费标准和具备网上审批的条件和要求等，取消没有法律法规依据的证明和盖章环节。第一批公布“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服务事项清单</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项（见附件</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eastAsia="仿宋_GB2312"/>
          <w:sz w:val="32"/>
          <w:szCs w:val="32"/>
        </w:rPr>
        <w:t>（</w:t>
      </w:r>
      <w:r>
        <w:rPr>
          <w:rFonts w:hint="eastAsia" w:eastAsia="楷体_GB2312"/>
          <w:sz w:val="32"/>
          <w:szCs w:val="32"/>
        </w:rPr>
        <w:t>责任部门：区编办、区政务办、各相关部门</w:t>
      </w:r>
      <w:r>
        <w:rPr>
          <w:rFonts w:hint="eastAsia" w:eastAsia="仿宋_GB2312"/>
          <w:sz w:val="32"/>
          <w:szCs w:val="32"/>
        </w:rPr>
        <w:t>）</w:t>
      </w:r>
    </w:p>
    <w:p>
      <w:pPr>
        <w:spacing w:line="520" w:lineRule="exact"/>
        <w:ind w:firstLine="640"/>
        <w:rPr>
          <w:rFonts w:hint="eastAsia" w:eastAsia="楷体_GB2312"/>
          <w:sz w:val="32"/>
          <w:szCs w:val="32"/>
          <w:lang w:eastAsia="zh-CN"/>
        </w:rPr>
      </w:pPr>
      <w:r>
        <w:rPr>
          <w:rFonts w:hint="eastAsia" w:ascii="楷体_GB2312" w:eastAsia="楷体_GB2312"/>
          <w:sz w:val="32"/>
          <w:szCs w:val="32"/>
        </w:rPr>
        <w:t>（三）推行</w:t>
      </w:r>
      <w:r>
        <w:rPr>
          <w:rFonts w:hint="eastAsia" w:ascii="楷体_GB2312" w:hAnsi="仿宋" w:eastAsia="楷体_GB2312" w:cs="仿宋"/>
          <w:color w:val="000000"/>
          <w:sz w:val="32"/>
          <w:szCs w:val="32"/>
        </w:rPr>
        <w:t>基本建设</w:t>
      </w:r>
      <w:r>
        <w:rPr>
          <w:rFonts w:hint="eastAsia" w:ascii="楷体_GB2312" w:eastAsia="楷体_GB2312"/>
          <w:sz w:val="32"/>
          <w:szCs w:val="32"/>
        </w:rPr>
        <w:t>项目“预审代办制”。</w:t>
      </w:r>
      <w:r>
        <w:rPr>
          <w:rFonts w:hint="eastAsia" w:ascii="方正仿宋_GBK" w:hAnsi="方正仿宋_GBK" w:eastAsia="方正仿宋_GBK" w:cs="方正仿宋_GBK"/>
          <w:sz w:val="32"/>
          <w:szCs w:val="32"/>
        </w:rPr>
        <w:t>出台《</w:t>
      </w:r>
      <w:r>
        <w:rPr>
          <w:rFonts w:hint="eastAsia" w:ascii="方正仿宋_GBK" w:hAnsi="方正仿宋_GBK" w:eastAsia="方正仿宋_GBK" w:cs="方正仿宋_GBK"/>
          <w:color w:val="000000"/>
          <w:sz w:val="32"/>
          <w:szCs w:val="32"/>
        </w:rPr>
        <w:t>雨花台区基本建设项目预审代办制试行办法</w:t>
      </w:r>
      <w:r>
        <w:rPr>
          <w:rFonts w:hint="eastAsia" w:ascii="方正仿宋_GBK" w:hAnsi="方正仿宋_GBK" w:eastAsia="方正仿宋_GBK" w:cs="方正仿宋_GBK"/>
          <w:sz w:val="32"/>
          <w:szCs w:val="32"/>
        </w:rPr>
        <w:t>》，充分发挥区投资建设代办服务中心的牵头作用，在各街道（园区）建立代办制度，对暂时不能实行全程网上审批及服务的事项，统一为企业提供咨询、指导、无偿代办服务。代办服务实行首问负责制、限时办结制、服务承诺制等制度，建立代办服务评价制度，建立企业联系卡制度。加强区街两级代办队伍专业培训，建立健全各项规章制度，逐步提高代办服务的规范化与标准化水平</w:t>
      </w:r>
      <w:r>
        <w:rPr>
          <w:rFonts w:hint="eastAsia" w:eastAsia="仿宋_GB2312"/>
          <w:sz w:val="32"/>
          <w:szCs w:val="32"/>
        </w:rPr>
        <w:t>。</w:t>
      </w:r>
      <w:r>
        <w:rPr>
          <w:rFonts w:hint="eastAsia" w:eastAsia="楷体_GB2312"/>
          <w:sz w:val="32"/>
          <w:szCs w:val="32"/>
        </w:rPr>
        <w:t>（责任部门：区编办、区政务办、各街道（园区）</w:t>
      </w:r>
      <w:r>
        <w:rPr>
          <w:rFonts w:hint="eastAsia" w:eastAsia="楷体_GB2312"/>
          <w:sz w:val="32"/>
          <w:szCs w:val="32"/>
          <w:lang w:eastAsia="zh-CN"/>
        </w:rPr>
        <w:t>）</w:t>
      </w:r>
    </w:p>
    <w:p>
      <w:pPr>
        <w:spacing w:line="520" w:lineRule="exact"/>
        <w:ind w:firstLine="640"/>
        <w:rPr>
          <w:rFonts w:eastAsia="仿宋_GB2312"/>
          <w:sz w:val="32"/>
          <w:szCs w:val="32"/>
        </w:rPr>
      </w:pPr>
      <w:r>
        <w:rPr>
          <w:rFonts w:hint="eastAsia" w:eastAsia="楷体_GB2312"/>
          <w:sz w:val="32"/>
          <w:szCs w:val="32"/>
        </w:rPr>
        <w:t>（四）完善信息平台建设。</w:t>
      </w:r>
      <w:r>
        <w:rPr>
          <w:rFonts w:hint="eastAsia" w:ascii="方正仿宋_GBK" w:hAnsi="方正仿宋_GBK" w:eastAsia="方正仿宋_GBK" w:cs="方正仿宋_GBK"/>
          <w:sz w:val="32"/>
          <w:szCs w:val="32"/>
        </w:rPr>
        <w:t>加强互联网、大数据等信息技术的集成应用，依托全省政务服务“一张网”，加快“信用审查、人脸识别、人机验证、电子签名”等信息系统推广应用，申请人和审批人通过登录手机</w:t>
      </w:r>
      <w:r>
        <w:rPr>
          <w:rFonts w:hint="default" w:ascii="Times New Roman" w:hAnsi="Times New Roman" w:eastAsia="方正仿宋_GBK" w:cs="Times New Roman"/>
          <w:sz w:val="32"/>
          <w:szCs w:val="32"/>
        </w:rPr>
        <w:t>APP</w:t>
      </w:r>
      <w:r>
        <w:rPr>
          <w:rFonts w:hint="eastAsia" w:ascii="方正仿宋_GBK" w:hAnsi="方正仿宋_GBK" w:eastAsia="方正仿宋_GBK" w:cs="方正仿宋_GBK"/>
          <w:sz w:val="32"/>
          <w:szCs w:val="32"/>
        </w:rPr>
        <w:t>和网页版就能实现“在线提交办理、在线同步审批、材料信息共享、信用审查监管”等功能，确保“不见面审批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服务有效运行。加强街道便民服务中心建设，完善服务体系，实现政务服务事项就近能办、全区通办。</w:t>
      </w:r>
      <w:r>
        <w:rPr>
          <w:rFonts w:hint="eastAsia" w:eastAsia="仿宋_GB2312"/>
          <w:sz w:val="32"/>
          <w:szCs w:val="32"/>
        </w:rPr>
        <w:t>（</w:t>
      </w:r>
      <w:r>
        <w:rPr>
          <w:rFonts w:hint="eastAsia" w:eastAsia="楷体_GB2312"/>
          <w:sz w:val="32"/>
          <w:szCs w:val="32"/>
        </w:rPr>
        <w:t>责任部门：区政务办、区市场监管局、各街道（园区）</w:t>
      </w:r>
      <w:r>
        <w:rPr>
          <w:rFonts w:hint="eastAsia" w:eastAsia="仿宋_GB2312"/>
          <w:sz w:val="32"/>
          <w:szCs w:val="32"/>
        </w:rPr>
        <w:t>）</w:t>
      </w:r>
    </w:p>
    <w:p>
      <w:pPr>
        <w:spacing w:line="520" w:lineRule="exact"/>
        <w:ind w:firstLine="480" w:firstLineChars="150"/>
        <w:rPr>
          <w:rFonts w:eastAsia="仿宋_GB2312"/>
          <w:sz w:val="32"/>
          <w:szCs w:val="32"/>
        </w:rPr>
      </w:pPr>
      <w:r>
        <w:rPr>
          <w:rFonts w:hint="eastAsia" w:eastAsia="楷体_GB2312"/>
          <w:sz w:val="32"/>
          <w:szCs w:val="32"/>
          <w:lang w:val="en-US" w:eastAsia="zh-CN"/>
        </w:rPr>
        <w:t xml:space="preserve"> </w:t>
      </w:r>
      <w:r>
        <w:rPr>
          <w:rFonts w:hint="eastAsia" w:eastAsia="楷体_GB2312"/>
          <w:sz w:val="32"/>
          <w:szCs w:val="32"/>
        </w:rPr>
        <w:t>（五）</w:t>
      </w:r>
      <w:r>
        <w:rPr>
          <w:rFonts w:hint="eastAsia" w:ascii="楷体_GB2312" w:eastAsia="楷体_GB2312"/>
          <w:sz w:val="32"/>
          <w:szCs w:val="32"/>
        </w:rPr>
        <w:t>加强事中事后监管</w:t>
      </w:r>
      <w:r>
        <w:rPr>
          <w:rFonts w:hint="eastAsia" w:eastAsia="楷体_GB2312"/>
          <w:sz w:val="32"/>
          <w:szCs w:val="32"/>
        </w:rPr>
        <w:t>。</w:t>
      </w:r>
      <w:r>
        <w:rPr>
          <w:rFonts w:hint="eastAsia" w:ascii="方正仿宋_GBK" w:hAnsi="方正仿宋_GBK" w:eastAsia="方正仿宋_GBK" w:cs="方正仿宋_GBK"/>
          <w:sz w:val="32"/>
          <w:szCs w:val="32"/>
        </w:rPr>
        <w:t>按照谁审批谁监管，谁主管谁监管的原则，建立以权责清单为边界，以双随机一公开为抓手，以信用监管为核心，以网格化管理为基础，以大数据为支撑，以综合执法为手段，以线上线下制度链为保障的严格有效监管体系。全面推行“双随机一公开”监管抽查，建立奖励举报、惩罚性赔偿、联合惩戒等制度，加强事中事后监管，切实提高监管的效能。</w:t>
      </w:r>
      <w:r>
        <w:rPr>
          <w:rFonts w:hint="eastAsia" w:eastAsia="仿宋_GB2312"/>
          <w:sz w:val="32"/>
          <w:szCs w:val="32"/>
        </w:rPr>
        <w:t>（</w:t>
      </w:r>
      <w:r>
        <w:rPr>
          <w:rFonts w:hint="eastAsia" w:eastAsia="楷体_GB2312"/>
          <w:sz w:val="32"/>
          <w:szCs w:val="32"/>
        </w:rPr>
        <w:t>责任部门：区法制办、各相关部门，各街道（园区）</w:t>
      </w:r>
      <w:r>
        <w:rPr>
          <w:rFonts w:hint="eastAsia" w:eastAsia="仿宋_GB2312"/>
          <w:sz w:val="32"/>
          <w:szCs w:val="32"/>
        </w:rPr>
        <w:t>）</w:t>
      </w:r>
    </w:p>
    <w:p>
      <w:pPr>
        <w:spacing w:line="520" w:lineRule="exact"/>
        <w:ind w:firstLine="480" w:firstLineChars="150"/>
        <w:rPr>
          <w:rFonts w:eastAsia="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（六）推行审批结果“不见面”送达。</w:t>
      </w:r>
      <w:r>
        <w:rPr>
          <w:rFonts w:hint="eastAsia" w:ascii="方正仿宋_GBK" w:hAnsi="方正仿宋_GBK" w:eastAsia="方正仿宋_GBK" w:cs="方正仿宋_GBK"/>
          <w:sz w:val="32"/>
          <w:szCs w:val="32"/>
        </w:rPr>
        <w:t>推行审批结果“两微一端”推送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快递送达、代办送达等服务模式，努力实现办事企业和群众“零跑腿”，进一步减少设租寻租的空间。</w:t>
      </w:r>
      <w:r>
        <w:rPr>
          <w:rFonts w:hint="eastAsia" w:eastAsia="仿宋_GB2312"/>
          <w:sz w:val="32"/>
          <w:szCs w:val="32"/>
        </w:rPr>
        <w:t>（</w:t>
      </w:r>
      <w:r>
        <w:rPr>
          <w:rFonts w:hint="eastAsia" w:eastAsia="楷体_GB2312"/>
          <w:sz w:val="32"/>
          <w:szCs w:val="32"/>
        </w:rPr>
        <w:t>责任部门：区政务办、各相关部门，各街道（园区）</w:t>
      </w:r>
      <w:r>
        <w:rPr>
          <w:rFonts w:hint="eastAsia" w:eastAsia="仿宋_GB2312"/>
          <w:sz w:val="32"/>
          <w:szCs w:val="32"/>
        </w:rPr>
        <w:t>）</w:t>
      </w:r>
    </w:p>
    <w:p>
      <w:pPr>
        <w:spacing w:line="520" w:lineRule="exact"/>
        <w:ind w:firstLine="645"/>
        <w:rPr>
          <w:rFonts w:eastAsia="黑体"/>
          <w:sz w:val="32"/>
          <w:szCs w:val="32"/>
        </w:rPr>
      </w:pPr>
      <w:r>
        <w:rPr>
          <w:rFonts w:hint="eastAsia" w:eastAsia="黑体"/>
          <w:sz w:val="32"/>
          <w:szCs w:val="32"/>
        </w:rPr>
        <w:t>四、实施步骤</w:t>
      </w:r>
    </w:p>
    <w:p>
      <w:pPr>
        <w:spacing w:line="520" w:lineRule="exact"/>
        <w:ind w:firstLine="645"/>
        <w:rPr>
          <w:rFonts w:eastAsia="楷体_GB2312"/>
          <w:sz w:val="32"/>
          <w:szCs w:val="32"/>
        </w:rPr>
      </w:pPr>
      <w:r>
        <w:rPr>
          <w:rFonts w:hint="eastAsia" w:eastAsia="楷体_GB2312"/>
          <w:sz w:val="32"/>
          <w:szCs w:val="32"/>
        </w:rPr>
        <w:t>（一）拟定方案阶段（</w:t>
      </w:r>
      <w:r>
        <w:rPr>
          <w:rFonts w:eastAsia="楷体_GB2312"/>
          <w:sz w:val="32"/>
          <w:szCs w:val="32"/>
        </w:rPr>
        <w:t>2017</w:t>
      </w:r>
      <w:r>
        <w:rPr>
          <w:rFonts w:hint="eastAsia" w:eastAsia="楷体_GB2312"/>
          <w:sz w:val="32"/>
          <w:szCs w:val="32"/>
        </w:rPr>
        <w:t>年</w:t>
      </w:r>
      <w:r>
        <w:rPr>
          <w:rFonts w:eastAsia="楷体_GB2312"/>
          <w:sz w:val="32"/>
          <w:szCs w:val="32"/>
        </w:rPr>
        <w:t>6</w:t>
      </w:r>
      <w:r>
        <w:rPr>
          <w:rFonts w:hint="eastAsia" w:eastAsia="楷体_GB2312"/>
          <w:sz w:val="32"/>
          <w:szCs w:val="32"/>
        </w:rPr>
        <w:t>月）</w:t>
      </w:r>
    </w:p>
    <w:p>
      <w:pPr>
        <w:spacing w:line="520" w:lineRule="exact"/>
        <w:ind w:firstLine="645"/>
        <w:rPr>
          <w:rFonts w:eastAsia="仿宋_GB2312"/>
          <w:sz w:val="32"/>
          <w:szCs w:val="32"/>
        </w:rPr>
      </w:pPr>
      <w:r>
        <w:rPr>
          <w:rFonts w:hint="eastAsia" w:ascii="方正仿宋_GBK" w:hAnsi="方正仿宋_GBK" w:eastAsia="方正仿宋_GBK" w:cs="方正仿宋_GBK"/>
          <w:sz w:val="32"/>
          <w:szCs w:val="32"/>
        </w:rPr>
        <w:t>区编办牵头制定“不见面审批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改革实施方案和首批</w:t>
      </w:r>
      <w:r>
        <w:rPr>
          <w:rFonts w:hint="eastAsia" w:ascii="方正仿宋_GBK" w:hAnsi="方正仿宋_GBK" w:eastAsia="方正仿宋_GBK" w:cs="方正仿宋_GBK"/>
          <w:color w:val="000000" w:themeColor="text1"/>
          <w:sz w:val="32"/>
          <w:szCs w:val="32"/>
          <w14:textFill>
            <w14:solidFill>
              <w14:schemeClr w14:val="tx1"/>
            </w14:solidFill>
          </w14:textFill>
        </w:rPr>
        <w:t>区级</w:t>
      </w:r>
      <w:r>
        <w:rPr>
          <w:rFonts w:hint="eastAsia" w:ascii="方正仿宋_GBK" w:hAnsi="方正仿宋_GBK" w:eastAsia="方正仿宋_GBK" w:cs="方正仿宋_GBK"/>
          <w:sz w:val="32"/>
          <w:szCs w:val="32"/>
        </w:rPr>
        <w:t>“不见面审批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服务事项清单。</w:t>
      </w:r>
    </w:p>
    <w:p>
      <w:pPr>
        <w:spacing w:line="520" w:lineRule="exact"/>
        <w:ind w:firstLine="645"/>
        <w:rPr>
          <w:rFonts w:eastAsia="楷体_GB2312"/>
          <w:sz w:val="32"/>
          <w:szCs w:val="32"/>
        </w:rPr>
      </w:pPr>
      <w:r>
        <w:rPr>
          <w:rFonts w:hint="eastAsia" w:eastAsia="楷体_GB2312"/>
          <w:sz w:val="32"/>
          <w:szCs w:val="32"/>
        </w:rPr>
        <w:t>（二）组织实施阶段（</w:t>
      </w:r>
      <w:r>
        <w:rPr>
          <w:rFonts w:eastAsia="楷体_GB2312"/>
          <w:sz w:val="32"/>
          <w:szCs w:val="32"/>
        </w:rPr>
        <w:t>2017</w:t>
      </w:r>
      <w:r>
        <w:rPr>
          <w:rFonts w:hint="eastAsia" w:eastAsia="楷体_GB2312"/>
          <w:sz w:val="32"/>
          <w:szCs w:val="32"/>
        </w:rPr>
        <w:t>年</w:t>
      </w:r>
      <w:r>
        <w:rPr>
          <w:rFonts w:eastAsia="楷体_GB2312"/>
          <w:sz w:val="32"/>
          <w:szCs w:val="32"/>
        </w:rPr>
        <w:t>7</w:t>
      </w:r>
      <w:r>
        <w:rPr>
          <w:rFonts w:hint="eastAsia" w:eastAsia="楷体_GB2312"/>
          <w:sz w:val="32"/>
          <w:szCs w:val="32"/>
        </w:rPr>
        <w:t>月</w:t>
      </w:r>
      <w:r>
        <w:rPr>
          <w:rFonts w:eastAsia="楷体_GB2312"/>
          <w:sz w:val="32"/>
          <w:szCs w:val="32"/>
        </w:rPr>
        <w:t>—10</w:t>
      </w:r>
      <w:r>
        <w:rPr>
          <w:rFonts w:hint="eastAsia" w:eastAsia="楷体_GB2312"/>
          <w:sz w:val="32"/>
          <w:szCs w:val="32"/>
        </w:rPr>
        <w:t>月）</w:t>
      </w:r>
    </w:p>
    <w:p>
      <w:pPr>
        <w:spacing w:line="52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rPr>
        <w:t>按照“不见面审批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改革实施方案，</w:t>
      </w:r>
      <w:r>
        <w:rPr>
          <w:rFonts w:hint="eastAsia" w:ascii="方正仿宋_GBK" w:hAnsi="方正仿宋_GBK" w:eastAsia="方正仿宋_GBK" w:cs="方正仿宋_GBK"/>
          <w:color w:val="000000"/>
          <w:sz w:val="32"/>
          <w:szCs w:val="32"/>
          <w:shd w:val="clear" w:color="auto" w:fill="FFFFFF"/>
        </w:rPr>
        <w:t>全面动员、部署和启动</w:t>
      </w:r>
      <w:r>
        <w:rPr>
          <w:rFonts w:hint="eastAsia" w:ascii="方正仿宋_GBK" w:hAnsi="方正仿宋_GBK" w:eastAsia="方正仿宋_GBK" w:cs="方正仿宋_GBK"/>
          <w:sz w:val="32"/>
          <w:szCs w:val="32"/>
        </w:rPr>
        <w:t>“不见面审批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shd w:val="clear" w:color="auto" w:fill="FFFFFF"/>
        </w:rPr>
        <w:t>工作，并及时研究完善推进过程中出现的问题和矛盾。</w:t>
      </w:r>
    </w:p>
    <w:p>
      <w:pPr>
        <w:spacing w:line="520" w:lineRule="exact"/>
        <w:ind w:firstLine="645"/>
        <w:rPr>
          <w:rFonts w:eastAsia="楷体_GB2312"/>
          <w:sz w:val="32"/>
          <w:szCs w:val="32"/>
        </w:rPr>
      </w:pPr>
      <w:r>
        <w:rPr>
          <w:rFonts w:hint="eastAsia" w:eastAsia="楷体_GB2312"/>
          <w:sz w:val="32"/>
          <w:szCs w:val="32"/>
        </w:rPr>
        <w:t>（三）验收评估阶段（</w:t>
      </w:r>
      <w:r>
        <w:rPr>
          <w:rFonts w:eastAsia="楷体_GB2312"/>
          <w:sz w:val="32"/>
          <w:szCs w:val="32"/>
        </w:rPr>
        <w:t>2017</w:t>
      </w:r>
      <w:r>
        <w:rPr>
          <w:rFonts w:hint="eastAsia" w:eastAsia="楷体_GB2312"/>
          <w:sz w:val="32"/>
          <w:szCs w:val="32"/>
        </w:rPr>
        <w:t>年</w:t>
      </w:r>
      <w:r>
        <w:rPr>
          <w:rFonts w:eastAsia="楷体_GB2312"/>
          <w:sz w:val="32"/>
          <w:szCs w:val="32"/>
        </w:rPr>
        <w:t>11</w:t>
      </w:r>
      <w:r>
        <w:rPr>
          <w:rFonts w:hint="eastAsia" w:eastAsia="楷体_GB2312"/>
          <w:sz w:val="32"/>
          <w:szCs w:val="32"/>
        </w:rPr>
        <w:t>月</w:t>
      </w:r>
      <w:r>
        <w:rPr>
          <w:rFonts w:eastAsia="楷体_GB2312"/>
          <w:sz w:val="32"/>
          <w:szCs w:val="32"/>
        </w:rPr>
        <w:t>—12</w:t>
      </w:r>
      <w:r>
        <w:rPr>
          <w:rFonts w:hint="eastAsia" w:eastAsia="楷体_GB2312"/>
          <w:sz w:val="32"/>
          <w:szCs w:val="32"/>
        </w:rPr>
        <w:t>月）</w:t>
      </w:r>
    </w:p>
    <w:p>
      <w:pPr>
        <w:spacing w:line="520" w:lineRule="exact"/>
        <w:ind w:firstLine="645"/>
        <w:rPr>
          <w:rFonts w:eastAsia="仿宋_GB2312"/>
          <w:sz w:val="32"/>
          <w:szCs w:val="32"/>
        </w:rPr>
      </w:pPr>
      <w:r>
        <w:rPr>
          <w:rFonts w:hint="eastAsia" w:ascii="方正仿宋_GBK" w:hAnsi="方正仿宋_GBK" w:eastAsia="方正仿宋_GBK" w:cs="方正仿宋_GBK"/>
          <w:sz w:val="32"/>
          <w:szCs w:val="32"/>
        </w:rPr>
        <w:t>总结“不见面审批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改革成效，对</w:t>
      </w:r>
      <w:r>
        <w:rPr>
          <w:rFonts w:hint="eastAsia" w:ascii="方正仿宋_GBK" w:hAnsi="方正仿宋_GBK" w:eastAsia="方正仿宋_GBK" w:cs="方正仿宋_GBK"/>
          <w:color w:val="000000" w:themeColor="text1"/>
          <w:sz w:val="32"/>
          <w:szCs w:val="32"/>
          <w14:textFill>
            <w14:solidFill>
              <w14:schemeClr w14:val="tx1"/>
            </w14:solidFill>
          </w14:textFill>
        </w:rPr>
        <w:t>区级</w:t>
      </w:r>
      <w:r>
        <w:rPr>
          <w:rFonts w:hint="eastAsia" w:ascii="方正仿宋_GBK" w:hAnsi="方正仿宋_GBK" w:eastAsia="方正仿宋_GBK" w:cs="方正仿宋_GBK"/>
          <w:sz w:val="32"/>
          <w:szCs w:val="32"/>
        </w:rPr>
        <w:t>“不见面审批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工作推进情况进行抽查和第三方评估，进一步优化“不见面审批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流程，形成完整的“不见面审批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改革样本。</w:t>
      </w:r>
    </w:p>
    <w:p>
      <w:pPr>
        <w:spacing w:line="520" w:lineRule="exact"/>
        <w:ind w:firstLine="645"/>
        <w:rPr>
          <w:rFonts w:eastAsia="黑体"/>
          <w:sz w:val="32"/>
          <w:szCs w:val="32"/>
        </w:rPr>
      </w:pPr>
      <w:r>
        <w:rPr>
          <w:rFonts w:hint="eastAsia" w:eastAsia="黑体"/>
          <w:sz w:val="32"/>
          <w:szCs w:val="32"/>
        </w:rPr>
        <w:t>五、组织实施</w:t>
      </w:r>
    </w:p>
    <w:p>
      <w:pPr>
        <w:spacing w:line="520" w:lineRule="exact"/>
        <w:ind w:firstLine="645"/>
        <w:rPr>
          <w:rFonts w:eastAsia="仿宋_GB2312"/>
          <w:color w:val="000000"/>
          <w:sz w:val="32"/>
          <w:szCs w:val="32"/>
          <w:shd w:val="clear" w:color="auto" w:fill="FFFFFF"/>
        </w:rPr>
      </w:pPr>
      <w:r>
        <w:rPr>
          <w:rFonts w:hint="eastAsia" w:eastAsia="楷体_GB2312"/>
          <w:sz w:val="32"/>
          <w:szCs w:val="32"/>
        </w:rPr>
        <w:t>（一）加强组织领导。</w:t>
      </w:r>
      <w:r>
        <w:rPr>
          <w:rFonts w:hint="eastAsia" w:ascii="方正仿宋_GBK" w:hAnsi="方正仿宋_GBK" w:eastAsia="方正仿宋_GBK" w:cs="方正仿宋_GBK"/>
          <w:sz w:val="32"/>
          <w:szCs w:val="32"/>
        </w:rPr>
        <w:t>“不见面审批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改革工作</w:t>
      </w:r>
      <w:r>
        <w:rPr>
          <w:rFonts w:hint="eastAsia" w:ascii="方正仿宋_GBK" w:hAnsi="方正仿宋_GBK" w:eastAsia="方正仿宋_GBK" w:cs="方正仿宋_GBK"/>
          <w:color w:val="000000"/>
          <w:sz w:val="32"/>
          <w:szCs w:val="32"/>
          <w:shd w:val="clear" w:color="auto" w:fill="FFFFFF"/>
        </w:rPr>
        <w:t>是一项复杂的系统工程，涉及面广、工作量大、技术要求高。为保证工作顺利推进，成立由区政府分管领导任组长，区政府办、区委改革办、区作风办、区编办、区政务办、区法制办以及有关审批职能部门、各街道（园区）分管负责人为成员的领导小组，领导小组办公室设在区编办，负责</w:t>
      </w:r>
      <w:r>
        <w:rPr>
          <w:rFonts w:hint="eastAsia" w:ascii="方正仿宋_GBK" w:hAnsi="方正仿宋_GBK" w:eastAsia="方正仿宋_GBK" w:cs="方正仿宋_GBK"/>
          <w:sz w:val="32"/>
          <w:szCs w:val="32"/>
        </w:rPr>
        <w:t>“不见面审批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w:t>
      </w:r>
      <w:r>
        <w:rPr>
          <w:rFonts w:hint="eastAsia" w:ascii="方正仿宋_GBK" w:hAnsi="方正仿宋_GBK" w:eastAsia="方正仿宋_GBK" w:cs="方正仿宋_GBK"/>
          <w:color w:val="000000"/>
          <w:sz w:val="32"/>
          <w:szCs w:val="32"/>
          <w:shd w:val="clear" w:color="auto" w:fill="FFFFFF"/>
        </w:rPr>
        <w:t>日常工作</w:t>
      </w:r>
      <w:r>
        <w:rPr>
          <w:rFonts w:hint="eastAsia" w:ascii="方正仿宋_GBK" w:hAnsi="方正仿宋_GBK" w:eastAsia="方正仿宋_GBK" w:cs="方正仿宋_GBK"/>
          <w:color w:val="000000"/>
          <w:sz w:val="32"/>
          <w:szCs w:val="32"/>
          <w:shd w:val="clear" w:color="auto" w:fill="FFFFFF"/>
          <w:lang w:eastAsia="zh-CN"/>
        </w:rPr>
        <w:t>。</w:t>
      </w:r>
    </w:p>
    <w:p>
      <w:pPr>
        <w:spacing w:line="520" w:lineRule="exact"/>
        <w:ind w:firstLine="645"/>
        <w:rPr>
          <w:rFonts w:hint="eastAsia" w:ascii="方正仿宋_GBK" w:hAnsi="方正仿宋_GBK" w:eastAsia="方正仿宋_GBK" w:cs="方正仿宋_GBK"/>
          <w:sz w:val="32"/>
          <w:szCs w:val="32"/>
        </w:rPr>
        <w:sectPr>
          <w:footerReference r:id="rId9" w:type="default"/>
          <w:footerReference r:id="rId10" w:type="even"/>
          <w:pgSz w:w="11906" w:h="16838"/>
          <w:pgMar w:top="2098" w:right="1588" w:bottom="1701" w:left="1588" w:header="851" w:footer="992" w:gutter="0"/>
          <w:pgNumType w:fmt="numberInDash"/>
          <w:cols w:space="720" w:num="1"/>
          <w:docGrid w:type="lines" w:linePitch="318" w:charSpace="0"/>
        </w:sectPr>
      </w:pPr>
      <w:r>
        <w:rPr>
          <w:rFonts w:hint="eastAsia" w:eastAsia="楷体_GB2312"/>
          <w:sz w:val="32"/>
          <w:szCs w:val="32"/>
        </w:rPr>
        <w:t>（二）强化责任落实。</w:t>
      </w:r>
      <w:r>
        <w:rPr>
          <w:rFonts w:hint="eastAsia" w:ascii="方正仿宋_GBK" w:hAnsi="方正仿宋_GBK" w:eastAsia="方正仿宋_GBK" w:cs="方正仿宋_GBK"/>
          <w:color w:val="000000"/>
          <w:sz w:val="32"/>
          <w:szCs w:val="32"/>
          <w:shd w:val="clear" w:color="auto" w:fill="FFFFFF"/>
        </w:rPr>
        <w:t>涉改部门</w:t>
      </w:r>
      <w:r>
        <w:rPr>
          <w:rFonts w:hint="eastAsia" w:ascii="方正仿宋_GBK" w:hAnsi="方正仿宋_GBK" w:eastAsia="方正仿宋_GBK" w:cs="方正仿宋_GBK"/>
          <w:sz w:val="32"/>
          <w:szCs w:val="32"/>
        </w:rPr>
        <w:t>负责审核提交本部门“不见面审批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服务事项；区相关职能部门、区作风办负责指导督</w:t>
      </w:r>
    </w:p>
    <w:p>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促检查部门、街道 </w:t>
      </w:r>
      <w:r>
        <w:rPr>
          <w:rFonts w:hint="eastAsia" w:ascii="方正仿宋_GBK" w:hAnsi="方正仿宋_GBK" w:eastAsia="方正仿宋_GBK" w:cs="方正仿宋_GBK"/>
          <w:sz w:val="32"/>
          <w:szCs w:val="32"/>
          <w:lang w:eastAsia="zh-CN"/>
        </w:rPr>
        <w:t>（园区）</w:t>
      </w:r>
      <w:r>
        <w:rPr>
          <w:rFonts w:hint="eastAsia" w:ascii="方正仿宋_GBK" w:hAnsi="方正仿宋_GBK" w:eastAsia="方正仿宋_GBK" w:cs="方正仿宋_GBK"/>
          <w:sz w:val="32"/>
          <w:szCs w:val="32"/>
        </w:rPr>
        <w:t>“不见面审批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改革任务落实情况。各</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主要领导作为第一责任人，要切实做到改革工作亲自部署、重要方案亲自把关、关键环节亲自协调、落实情况亲自督察，加快推动改革落地。</w:t>
      </w:r>
    </w:p>
    <w:p>
      <w:pPr>
        <w:spacing w:line="520" w:lineRule="exact"/>
        <w:ind w:firstLine="645"/>
        <w:rPr>
          <w:sz w:val="32"/>
          <w:szCs w:val="32"/>
        </w:rPr>
      </w:pPr>
      <w:r>
        <w:rPr>
          <w:rFonts w:hint="eastAsia" w:eastAsia="楷体_GB2312"/>
          <w:sz w:val="32"/>
          <w:szCs w:val="32"/>
        </w:rPr>
        <w:t>（三）加强舆论宣传。</w:t>
      </w:r>
      <w:r>
        <w:rPr>
          <w:rFonts w:hint="eastAsia" w:eastAsia="仿宋_GB2312"/>
          <w:sz w:val="32"/>
          <w:szCs w:val="32"/>
        </w:rPr>
        <w:t>涉改部门和各街道（园区）</w:t>
      </w:r>
      <w:r>
        <w:rPr>
          <w:rFonts w:hint="eastAsia" w:ascii="仿宋_GB2312" w:eastAsia="仿宋_GB2312"/>
          <w:sz w:val="32"/>
          <w:szCs w:val="32"/>
        </w:rPr>
        <w:t>要充分利用报纸、电视、互联网和新媒体广泛宣传“不见面审批”改革，及时准确发布改革信息和政策法规解读</w:t>
      </w:r>
      <w:r>
        <w:rPr>
          <w:rFonts w:hint="eastAsia" w:eastAsia="仿宋_GB2312"/>
          <w:sz w:val="32"/>
          <w:szCs w:val="32"/>
        </w:rPr>
        <w:t>，正确引导社会预期，以打造营商环境最佳区为目标，坚持问题导向，转变工作理念，补齐审批短板，积极回应社会关切，创新社会参与机制，拓宽公众参与渠道，凝聚各方共识，营造良好氛围。</w:t>
      </w:r>
    </w:p>
    <w:p>
      <w:pPr>
        <w:spacing w:line="520" w:lineRule="exact"/>
        <w:ind w:firstLine="645"/>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、南京市雨花台区</w:t>
      </w:r>
      <w:r>
        <w:rPr>
          <w:rFonts w:eastAsia="仿宋_GB2312"/>
          <w:sz w:val="32"/>
          <w:szCs w:val="32"/>
        </w:rPr>
        <w:t>“</w:t>
      </w:r>
      <w:r>
        <w:rPr>
          <w:rFonts w:hint="eastAsia" w:eastAsia="仿宋_GB2312"/>
          <w:sz w:val="32"/>
          <w:szCs w:val="32"/>
        </w:rPr>
        <w:t>不见面审批</w:t>
      </w:r>
      <w:r>
        <w:rPr>
          <w:rFonts w:hint="eastAsia" w:eastAsia="仿宋_GB2312"/>
          <w:sz w:val="32"/>
          <w:szCs w:val="32"/>
          <w:lang w:eastAsia="zh-CN"/>
        </w:rPr>
        <w:t>”</w:t>
      </w:r>
      <w:r>
        <w:rPr>
          <w:rFonts w:hint="eastAsia" w:eastAsia="仿宋_GB2312"/>
          <w:sz w:val="32"/>
          <w:szCs w:val="32"/>
        </w:rPr>
        <w:t>服务事项清单（第一批）</w:t>
      </w:r>
    </w:p>
    <w:p>
      <w:pPr>
        <w:spacing w:line="520" w:lineRule="exact"/>
        <w:ind w:firstLine="645"/>
        <w:rPr>
          <w:rFonts w:eastAsia="仿宋_GB2312"/>
          <w:sz w:val="32"/>
          <w:szCs w:val="32"/>
        </w:rPr>
      </w:pPr>
      <w:r>
        <w:rPr>
          <w:rFonts w:eastAsia="仿宋_GB2312"/>
          <w:sz w:val="32"/>
          <w:szCs w:val="32"/>
        </w:rPr>
        <w:t xml:space="preserve">     </w:t>
      </w: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hint="eastAsia" w:eastAsia="仿宋_GB2312"/>
          <w:sz w:val="32"/>
          <w:szCs w:val="32"/>
        </w:rPr>
      </w:pPr>
    </w:p>
    <w:p>
      <w:pPr>
        <w:spacing w:line="540" w:lineRule="exact"/>
        <w:rPr>
          <w:rFonts w:hint="eastAsia" w:eastAsia="仿宋_GB2312"/>
          <w:sz w:val="32"/>
          <w:szCs w:val="32"/>
        </w:rPr>
        <w:sectPr>
          <w:footerReference r:id="rId11" w:type="default"/>
          <w:footerReference r:id="rId12" w:type="even"/>
          <w:pgSz w:w="11906" w:h="16838"/>
          <w:pgMar w:top="2098" w:right="1588" w:bottom="1701" w:left="1588" w:header="851" w:footer="992" w:gutter="0"/>
          <w:pgNumType w:fmt="numberInDash"/>
          <w:cols w:space="720" w:num="1"/>
          <w:docGrid w:type="lines" w:linePitch="318" w:charSpace="0"/>
        </w:sectPr>
      </w:pPr>
    </w:p>
    <w:p>
      <w:pPr>
        <w:spacing w:line="540" w:lineRule="exact"/>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w:t>
      </w:r>
    </w:p>
    <w:tbl>
      <w:tblPr>
        <w:tblStyle w:val="9"/>
        <w:tblW w:w="9100" w:type="dxa"/>
        <w:tblInd w:w="91" w:type="dxa"/>
        <w:tblLayout w:type="fixed"/>
        <w:tblCellMar>
          <w:top w:w="0" w:type="dxa"/>
          <w:left w:w="108" w:type="dxa"/>
          <w:bottom w:w="0" w:type="dxa"/>
          <w:right w:w="108" w:type="dxa"/>
        </w:tblCellMar>
      </w:tblPr>
      <w:tblGrid>
        <w:gridCol w:w="800"/>
        <w:gridCol w:w="2925"/>
        <w:gridCol w:w="970"/>
        <w:gridCol w:w="1143"/>
        <w:gridCol w:w="1197"/>
        <w:gridCol w:w="1080"/>
        <w:gridCol w:w="985"/>
      </w:tblGrid>
      <w:tr>
        <w:tblPrEx>
          <w:tblLayout w:type="fixed"/>
          <w:tblCellMar>
            <w:top w:w="0" w:type="dxa"/>
            <w:left w:w="108" w:type="dxa"/>
            <w:bottom w:w="0" w:type="dxa"/>
            <w:right w:w="108" w:type="dxa"/>
          </w:tblCellMar>
        </w:tblPrEx>
        <w:trPr>
          <w:trHeight w:val="1123" w:hRule="atLeast"/>
        </w:trPr>
        <w:tc>
          <w:tcPr>
            <w:tcW w:w="9100" w:type="dxa"/>
            <w:gridSpan w:val="7"/>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南京市雨花台区“不见面审批</w:t>
            </w:r>
            <w:r>
              <w:rPr>
                <w:rFonts w:hint="eastAsia" w:ascii="方正小标宋简体" w:hAnsi="宋体" w:eastAsia="方正小标宋简体" w:cs="宋体"/>
                <w:kern w:val="0"/>
                <w:sz w:val="36"/>
                <w:szCs w:val="36"/>
                <w:lang w:eastAsia="zh-CN"/>
              </w:rPr>
              <w:t>”</w:t>
            </w:r>
            <w:r>
              <w:rPr>
                <w:rFonts w:hint="eastAsia" w:ascii="方正小标宋简体" w:hAnsi="宋体" w:eastAsia="方正小标宋简体" w:cs="宋体"/>
                <w:kern w:val="0"/>
                <w:sz w:val="36"/>
                <w:szCs w:val="36"/>
              </w:rPr>
              <w:t>服务事项清单</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（第一批）</w:t>
            </w:r>
          </w:p>
        </w:tc>
      </w:tr>
      <w:tr>
        <w:tblPrEx>
          <w:tblLayout w:type="fixed"/>
          <w:tblCellMar>
            <w:top w:w="0" w:type="dxa"/>
            <w:left w:w="108" w:type="dxa"/>
            <w:bottom w:w="0" w:type="dxa"/>
            <w:right w:w="108" w:type="dxa"/>
          </w:tblCellMar>
        </w:tblPrEx>
        <w:trPr>
          <w:trHeight w:val="600" w:hRule="atLeast"/>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4"/>
              </w:rPr>
            </w:pPr>
            <w:r>
              <w:rPr>
                <w:rFonts w:hint="eastAsia" w:ascii="宋体" w:hAnsi="宋体" w:cs="宋体"/>
                <w:kern w:val="0"/>
                <w:sz w:val="24"/>
              </w:rPr>
              <w:t>序号</w:t>
            </w:r>
          </w:p>
        </w:tc>
        <w:tc>
          <w:tcPr>
            <w:tcW w:w="29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4"/>
              </w:rPr>
            </w:pPr>
            <w:r>
              <w:rPr>
                <w:rFonts w:hint="eastAsia" w:ascii="宋体" w:hAnsi="宋体" w:cs="宋体"/>
                <w:kern w:val="0"/>
                <w:sz w:val="24"/>
              </w:rPr>
              <w:t>事项名称</w:t>
            </w:r>
          </w:p>
        </w:tc>
        <w:tc>
          <w:tcPr>
            <w:tcW w:w="9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4"/>
              </w:rPr>
            </w:pPr>
            <w:r>
              <w:rPr>
                <w:rFonts w:hint="eastAsia" w:ascii="宋体" w:hAnsi="宋体" w:cs="宋体"/>
                <w:kern w:val="0"/>
                <w:sz w:val="24"/>
              </w:rPr>
              <w:t>类型</w:t>
            </w:r>
          </w:p>
        </w:tc>
        <w:tc>
          <w:tcPr>
            <w:tcW w:w="11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服务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4"/>
              </w:rPr>
            </w:pPr>
            <w:r>
              <w:rPr>
                <w:rFonts w:hint="eastAsia" w:ascii="宋体" w:hAnsi="宋体" w:cs="宋体"/>
                <w:kern w:val="0"/>
                <w:sz w:val="24"/>
              </w:rPr>
              <w:t>对象</w:t>
            </w:r>
          </w:p>
        </w:tc>
        <w:tc>
          <w:tcPr>
            <w:tcW w:w="11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4"/>
              </w:rPr>
            </w:pPr>
            <w:r>
              <w:rPr>
                <w:rFonts w:hint="eastAsia" w:ascii="宋体" w:hAnsi="宋体" w:cs="宋体"/>
                <w:kern w:val="0"/>
                <w:sz w:val="24"/>
              </w:rPr>
              <w:t>受理部门</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服务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4"/>
              </w:rPr>
            </w:pPr>
            <w:r>
              <w:rPr>
                <w:rFonts w:hint="eastAsia" w:ascii="宋体" w:hAnsi="宋体" w:cs="宋体"/>
                <w:kern w:val="0"/>
                <w:sz w:val="24"/>
              </w:rPr>
              <w:t>方式</w:t>
            </w:r>
          </w:p>
        </w:tc>
        <w:tc>
          <w:tcPr>
            <w:tcW w:w="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审批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4"/>
              </w:rPr>
            </w:pPr>
            <w:r>
              <w:rPr>
                <w:rFonts w:hint="eastAsia" w:ascii="宋体" w:hAnsi="宋体" w:cs="宋体"/>
                <w:kern w:val="0"/>
                <w:sz w:val="24"/>
              </w:rPr>
              <w:t>部门</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公司登记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公司</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企业法人登记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3</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合伙企业登记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合伙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4</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个人独资企业登记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个人独资企业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5</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企业名称核准</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6</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个体工商户名称核准</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个体工商户</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7</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个体工商户登记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个体工商户</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8</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农民专业合作社登记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农民专业合作社</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1005"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9</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特种设备安全管理人员资格</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使用特种设备相关工作人员</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945"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10</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特种设备检测人员资格</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使用特种设备相关工作人员</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93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11</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特种设备作业人员资格</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许可</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使用特种设备相关工作人员</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市场监管局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12</w:t>
            </w:r>
          </w:p>
        </w:tc>
        <w:tc>
          <w:tcPr>
            <w:tcW w:w="2925"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重大危险源备案</w:t>
            </w:r>
          </w:p>
        </w:tc>
        <w:tc>
          <w:tcPr>
            <w:tcW w:w="970"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安监局</w:t>
            </w:r>
          </w:p>
        </w:tc>
      </w:tr>
      <w:tr>
        <w:tblPrEx>
          <w:tblLayout w:type="fixed"/>
          <w:tblCellMar>
            <w:top w:w="0" w:type="dxa"/>
            <w:left w:w="108" w:type="dxa"/>
            <w:bottom w:w="0" w:type="dxa"/>
            <w:right w:w="108" w:type="dxa"/>
          </w:tblCellMar>
        </w:tblPrEx>
        <w:trPr>
          <w:trHeight w:val="600"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13</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危险化学品安全评价报告以及整改方案的落实情况备案</w:t>
            </w: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安监局</w:t>
            </w:r>
          </w:p>
        </w:tc>
      </w:tr>
      <w:tr>
        <w:tblPrEx>
          <w:tblLayout w:type="fixed"/>
          <w:tblCellMar>
            <w:top w:w="0" w:type="dxa"/>
            <w:left w:w="108" w:type="dxa"/>
            <w:bottom w:w="0" w:type="dxa"/>
            <w:right w:w="108" w:type="dxa"/>
          </w:tblCellMar>
        </w:tblPrEx>
        <w:trPr>
          <w:trHeight w:val="900" w:hRule="atLeast"/>
        </w:trPr>
        <w:tc>
          <w:tcPr>
            <w:tcW w:w="80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14</w:t>
            </w:r>
          </w:p>
        </w:tc>
        <w:tc>
          <w:tcPr>
            <w:tcW w:w="2925"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剧毒化学品和储存数量构成重大危险源的其他危险化学品有关情况备案</w:t>
            </w:r>
          </w:p>
        </w:tc>
        <w:tc>
          <w:tcPr>
            <w:tcW w:w="970"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安监局</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sectPr>
          <w:footerReference r:id="rId13" w:type="default"/>
          <w:footerReference r:id="rId14" w:type="even"/>
          <w:pgSz w:w="11906" w:h="16838"/>
          <w:pgMar w:top="2098" w:right="1588" w:bottom="1701" w:left="1588" w:header="851" w:footer="992" w:gutter="0"/>
          <w:pgNumType w:fmt="numberInDash"/>
          <w:cols w:space="720" w:num="1"/>
          <w:docGrid w:type="lines" w:linePitch="318" w:charSpace="0"/>
        </w:sectPr>
      </w:pPr>
    </w:p>
    <w:tbl>
      <w:tblPr>
        <w:tblStyle w:val="9"/>
        <w:tblW w:w="9100" w:type="dxa"/>
        <w:tblInd w:w="91" w:type="dxa"/>
        <w:tblLayout w:type="fixed"/>
        <w:tblCellMar>
          <w:top w:w="0" w:type="dxa"/>
          <w:left w:w="108" w:type="dxa"/>
          <w:bottom w:w="0" w:type="dxa"/>
          <w:right w:w="108" w:type="dxa"/>
        </w:tblCellMar>
      </w:tblPr>
      <w:tblGrid>
        <w:gridCol w:w="800"/>
        <w:gridCol w:w="2925"/>
        <w:gridCol w:w="970"/>
        <w:gridCol w:w="1143"/>
        <w:gridCol w:w="1197"/>
        <w:gridCol w:w="1080"/>
        <w:gridCol w:w="985"/>
      </w:tblGrid>
      <w:tr>
        <w:tblPrEx>
          <w:tblLayout w:type="fixed"/>
          <w:tblCellMar>
            <w:top w:w="0" w:type="dxa"/>
            <w:left w:w="108" w:type="dxa"/>
            <w:bottom w:w="0" w:type="dxa"/>
            <w:right w:w="108" w:type="dxa"/>
          </w:tblCellMar>
        </w:tblPrEx>
        <w:trPr>
          <w:trHeight w:val="620" w:hRule="atLeast"/>
        </w:trPr>
        <w:tc>
          <w:tcPr>
            <w:tcW w:w="80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kern w:val="0"/>
                <w:sz w:val="21"/>
                <w:szCs w:val="21"/>
              </w:rPr>
            </w:pPr>
            <w:r>
              <w:rPr>
                <w:rFonts w:hint="eastAsia" w:ascii="宋体" w:hAnsi="宋体" w:cs="宋体"/>
                <w:kern w:val="0"/>
                <w:sz w:val="24"/>
              </w:rPr>
              <w:t>序号</w:t>
            </w:r>
          </w:p>
        </w:tc>
        <w:tc>
          <w:tcPr>
            <w:tcW w:w="2925"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4"/>
              </w:rPr>
              <w:t>事项名称</w:t>
            </w:r>
          </w:p>
        </w:tc>
        <w:tc>
          <w:tcPr>
            <w:tcW w:w="970"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4"/>
              </w:rPr>
              <w:t>类型</w:t>
            </w:r>
          </w:p>
        </w:tc>
        <w:tc>
          <w:tcPr>
            <w:tcW w:w="1143"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服务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4"/>
              </w:rPr>
              <w:t>对象</w:t>
            </w:r>
          </w:p>
        </w:tc>
        <w:tc>
          <w:tcPr>
            <w:tcW w:w="1197"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4"/>
              </w:rPr>
              <w:t>受理部门</w:t>
            </w:r>
          </w:p>
        </w:tc>
        <w:tc>
          <w:tcPr>
            <w:tcW w:w="1080"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服务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4"/>
              </w:rPr>
              <w:t>方式</w:t>
            </w:r>
          </w:p>
        </w:tc>
        <w:tc>
          <w:tcPr>
            <w:tcW w:w="985"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4"/>
              </w:rPr>
            </w:pPr>
            <w:r>
              <w:rPr>
                <w:rFonts w:hint="eastAsia" w:ascii="宋体" w:hAnsi="宋体" w:cs="宋体"/>
                <w:kern w:val="0"/>
                <w:sz w:val="24"/>
              </w:rPr>
              <w:t>审批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4"/>
              </w:rPr>
              <w:t>部门</w:t>
            </w:r>
          </w:p>
        </w:tc>
      </w:tr>
      <w:tr>
        <w:tblPrEx>
          <w:tblLayout w:type="fixed"/>
          <w:tblCellMar>
            <w:top w:w="0" w:type="dxa"/>
            <w:left w:w="108" w:type="dxa"/>
            <w:bottom w:w="0" w:type="dxa"/>
            <w:right w:w="108" w:type="dxa"/>
          </w:tblCellMar>
        </w:tblPrEx>
        <w:trPr>
          <w:trHeight w:val="930" w:hRule="atLeast"/>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15</w:t>
            </w:r>
          </w:p>
        </w:tc>
        <w:tc>
          <w:tcPr>
            <w:tcW w:w="29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危险化学品生产装置、储存设施以及废弃危险化学品处置方案备案</w:t>
            </w:r>
          </w:p>
        </w:tc>
        <w:tc>
          <w:tcPr>
            <w:tcW w:w="9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安监局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16</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生产、经营易制毒化学品备案</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安监局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17</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职业病危害项目申报</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安监局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18</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法律援助</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给付</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公民</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司法局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19</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按比例安排残疾人就业年审</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残疾人</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残联</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20</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招标文件备案</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住建局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21</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采取协议方式选聘具有相应资质的物业管理企业的批准</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住建局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22</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招标投标情况备案</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住建局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23</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招标人自行办理招标备案</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住建局</w:t>
            </w:r>
          </w:p>
        </w:tc>
      </w:tr>
      <w:tr>
        <w:tblPrEx>
          <w:tblLayout w:type="fixed"/>
          <w:tblCellMar>
            <w:top w:w="0" w:type="dxa"/>
            <w:left w:w="108" w:type="dxa"/>
            <w:bottom w:w="0" w:type="dxa"/>
            <w:right w:w="108" w:type="dxa"/>
          </w:tblCellMar>
        </w:tblPrEx>
        <w:trPr>
          <w:trHeight w:val="915"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24</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有重要保存价值的非公有制经济组织和民办非企业单位的档案的目录报送</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档案局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25</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重大活动（事件）的登记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档案局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26</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重大活动档案目录的报送</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档案局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27</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重点建设项目档案的备案、登记</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其他</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企业</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审批</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档案局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28</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纳入社区居住异地退休人员免费健康体检预约</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服务</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退休人员</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服务</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人社局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29</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个人缴费证明</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服务</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公民</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服务</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人社局</w:t>
            </w:r>
          </w:p>
        </w:tc>
      </w:tr>
      <w:tr>
        <w:tblPrEx>
          <w:tblLayout w:type="fixed"/>
          <w:tblCellMar>
            <w:top w:w="0" w:type="dxa"/>
            <w:left w:w="108" w:type="dxa"/>
            <w:bottom w:w="0" w:type="dxa"/>
            <w:right w:w="108" w:type="dxa"/>
          </w:tblCellMar>
        </w:tblPrEx>
        <w:trPr>
          <w:trHeight w:val="600" w:hRule="atLeast"/>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30</w:t>
            </w:r>
          </w:p>
        </w:tc>
        <w:tc>
          <w:tcPr>
            <w:tcW w:w="29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老年人优待证的办理</w:t>
            </w:r>
          </w:p>
        </w:tc>
        <w:tc>
          <w:tcPr>
            <w:tcW w:w="9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服务</w:t>
            </w:r>
          </w:p>
        </w:tc>
        <w:tc>
          <w:tcPr>
            <w:tcW w:w="11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老年人</w:t>
            </w:r>
          </w:p>
        </w:tc>
        <w:tc>
          <w:tcPr>
            <w:tcW w:w="11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服务</w:t>
            </w:r>
          </w:p>
        </w:tc>
        <w:tc>
          <w:tcPr>
            <w:tcW w:w="9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民政局</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ascii="宋体" w:hAnsi="宋体" w:cs="宋体"/>
                <w:kern w:val="0"/>
                <w:sz w:val="21"/>
                <w:szCs w:val="21"/>
              </w:rPr>
              <w:t>31</w:t>
            </w:r>
          </w:p>
        </w:tc>
        <w:tc>
          <w:tcPr>
            <w:tcW w:w="2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cs="宋体"/>
                <w:kern w:val="0"/>
                <w:sz w:val="21"/>
                <w:szCs w:val="21"/>
              </w:rPr>
            </w:pPr>
            <w:r>
              <w:rPr>
                <w:rFonts w:hint="eastAsia" w:ascii="宋体" w:hAnsi="宋体" w:cs="宋体"/>
                <w:kern w:val="0"/>
                <w:sz w:val="21"/>
                <w:szCs w:val="21"/>
              </w:rPr>
              <w:t>受灾人员救助</w:t>
            </w:r>
          </w:p>
        </w:tc>
        <w:tc>
          <w:tcPr>
            <w:tcW w:w="9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服务</w:t>
            </w:r>
          </w:p>
        </w:tc>
        <w:tc>
          <w:tcPr>
            <w:tcW w:w="11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受灾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人员</w:t>
            </w:r>
          </w:p>
        </w:tc>
        <w:tc>
          <w:tcPr>
            <w:tcW w:w="11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政务服务中心</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网上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服务</w:t>
            </w:r>
          </w:p>
        </w:tc>
        <w:tc>
          <w:tcPr>
            <w:tcW w:w="9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kern w:val="0"/>
                <w:sz w:val="21"/>
                <w:szCs w:val="21"/>
              </w:rPr>
            </w:pPr>
            <w:r>
              <w:rPr>
                <w:rFonts w:hint="eastAsia" w:ascii="宋体" w:hAnsi="宋体" w:cs="宋体"/>
                <w:kern w:val="0"/>
                <w:sz w:val="21"/>
                <w:szCs w:val="21"/>
              </w:rPr>
              <w:t>民政局</w:t>
            </w:r>
          </w:p>
        </w:tc>
      </w:tr>
    </w:tbl>
    <w:p/>
    <w:sectPr>
      <w:footerReference r:id="rId15" w:type="default"/>
      <w:footerReference r:id="rId16" w:type="even"/>
      <w:pgSz w:w="11906" w:h="16838"/>
      <w:pgMar w:top="2098" w:right="1588" w:bottom="1701" w:left="1588"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书宋_GBK">
    <w:altName w:val="Arial Unicode MS"/>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汉鼎简大宋">
    <w:altName w:val="新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4965700</wp:posOffset>
              </wp:positionH>
              <wp:positionV relativeFrom="paragraph">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32"/>
                              <w:szCs w:val="32"/>
                            </w:rPr>
                          </w:pPr>
                          <w:r>
                            <w:rPr>
                              <w:rFonts w:ascii="Times New Roman" w:hAnsi="Times New Roman"/>
                              <w:sz w:val="28"/>
                            </w:rPr>
                            <w:t xml:space="preserve">— </w:t>
                          </w:r>
                          <w:r>
                            <w:rPr>
                              <w:rFonts w:hint="eastAsia"/>
                              <w:sz w:val="28"/>
                              <w:lang w:val="en-US" w:eastAsia="zh-CN"/>
                            </w:rPr>
                            <w:t>1</w:t>
                          </w:r>
                          <w:r>
                            <w:rPr>
                              <w:rFonts w:ascii="Times New Roman" w:hAnsi="Times New Roman"/>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pt;margin-top:-12.75pt;height:144pt;width:144pt;mso-position-horizontal-relative:margin;mso-wrap-style:none;z-index:251658240;mso-width-relative:page;mso-height-relative:page;" filled="f" stroked="f" coordsize="21600,21600" o:gfxdata="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nUKmt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2"/>
                      <w:rPr>
                        <w:rStyle w:val="6"/>
                        <w:sz w:val="32"/>
                        <w:szCs w:val="32"/>
                      </w:rPr>
                    </w:pPr>
                    <w:r>
                      <w:rPr>
                        <w:rFonts w:ascii="Times New Roman" w:hAnsi="Times New Roman"/>
                        <w:sz w:val="28"/>
                      </w:rPr>
                      <w:t xml:space="preserve">— </w:t>
                    </w:r>
                    <w:r>
                      <w:rPr>
                        <w:rFonts w:hint="eastAsia"/>
                        <w:sz w:val="28"/>
                        <w:lang w:val="en-US" w:eastAsia="zh-CN"/>
                      </w:rPr>
                      <w:t>1</w:t>
                    </w:r>
                    <w:r>
                      <w:rPr>
                        <w:rFonts w:ascii="Times New Roman" w:hAnsi="Times New Roman"/>
                        <w:sz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9013632"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rPr>
                              <w:rStyle w:val="6"/>
                            </w:rPr>
                            <w:fldChar w:fldCharType="begin"/>
                          </w:r>
                          <w:r>
                            <w:rPr>
                              <w:rStyle w:val="6"/>
                            </w:rPr>
                            <w:instrText xml:space="preserve">PAGE  </w:instrText>
                          </w:r>
                          <w:r>
                            <w:rPr>
                              <w:rStyle w:val="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9013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2"/>
                      <w:rPr>
                        <w:rStyle w:val="6"/>
                      </w:rPr>
                    </w:pPr>
                    <w:r>
                      <w:rPr>
                        <w:rStyle w:val="6"/>
                      </w:rPr>
                      <w:fldChar w:fldCharType="begin"/>
                    </w:r>
                    <w:r>
                      <w:rPr>
                        <w:rStyle w:val="6"/>
                      </w:rPr>
                      <w:instrText xml:space="preserve">PAGE  </w:instrText>
                    </w:r>
                    <w:r>
                      <w:rPr>
                        <w:rStyle w:val="6"/>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3302784"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3302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267404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32"/>
                              <w:szCs w:val="32"/>
                            </w:rPr>
                          </w:pPr>
                          <w:r>
                            <w:rPr>
                              <w:rFonts w:ascii="Times New Roman" w:hAnsi="Times New Roman"/>
                              <w:sz w:val="28"/>
                            </w:rPr>
                            <w:t xml:space="preserve">— </w:t>
                          </w:r>
                          <w:r>
                            <w:rPr>
                              <w:rFonts w:hint="eastAsia"/>
                              <w:sz w:val="28"/>
                              <w:lang w:val="en-US" w:eastAsia="zh-CN"/>
                            </w:rPr>
                            <w:t xml:space="preserve">7 </w:t>
                          </w:r>
                          <w:r>
                            <w:rPr>
                              <w:rFonts w:ascii="Times New Roman" w:hAnsi="Times New Roman"/>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674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
                      <w:rPr>
                        <w:rStyle w:val="6"/>
                        <w:sz w:val="32"/>
                        <w:szCs w:val="32"/>
                      </w:rPr>
                    </w:pPr>
                    <w:r>
                      <w:rPr>
                        <w:rFonts w:ascii="Times New Roman" w:hAnsi="Times New Roman"/>
                        <w:sz w:val="28"/>
                      </w:rPr>
                      <w:t xml:space="preserve">— </w:t>
                    </w:r>
                    <w:r>
                      <w:rPr>
                        <w:rFonts w:hint="eastAsia"/>
                        <w:sz w:val="28"/>
                        <w:lang w:val="en-US" w:eastAsia="zh-CN"/>
                      </w:rPr>
                      <w:t xml:space="preserve">7 </w:t>
                    </w:r>
                    <w:r>
                      <w:rPr>
                        <w:rFonts w:ascii="Times New Roman" w:hAnsi="Times New Roman"/>
                        <w:sz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sz w:val="28"/>
      </w:rPr>
      <w:t xml:space="preserve">— </w:t>
    </w:r>
    <w:r>
      <w:rPr>
        <w:rFonts w:hint="eastAsia"/>
        <w:sz w:val="28"/>
        <w:lang w:val="en-US" w:eastAsia="zh-CN"/>
      </w:rPr>
      <w:t>8</w:t>
    </w:r>
    <w:r>
      <w:rPr>
        <w:rFonts w:ascii="Times New Roman" w:hAnsi="Times New Roman"/>
        <w:sz w:val="28"/>
      </w:rPr>
      <w:t xml:space="preserve"> —</w:t>
    </w:r>
    <w:r>
      <w:rPr>
        <w:sz w:val="18"/>
      </w:rPr>
      <mc:AlternateContent>
        <mc:Choice Requires="wps">
          <w:drawing>
            <wp:anchor distT="0" distB="0" distL="114300" distR="114300" simplePos="0" relativeHeight="253301760" behindDoc="0" locked="0" layoutInCell="1" allowOverlap="1">
              <wp:simplePos x="0" y="0"/>
              <wp:positionH relativeFrom="margin">
                <wp:posOffset>5271135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5.05pt;margin-top:0pt;height:144pt;width:144pt;mso-position-horizontal-relative:margin;mso-wrap-style:none;z-index:253301760;mso-width-relative:page;mso-height-relative:page;" filled="f" stroked="f" coordsize="21600,21600" o:gfxdata="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I0oV1AAAAAkBAAAPAAAAAAAAAAEA&#10;IAAAACIAAABkcnMvZG93bnJldi54bWxQSwECFAAUAAAACACHTuJAmZ6ahBMCAAAVBAAADgAAAAAA&#10;AAABACAAAAAjAQAAZHJzL2Uyb0RvYy54bWxQSwUGAAAAAAYABgBZAQAAqAUAAAAA&#10;">
              <v:fill on="f" focussize="0,0"/>
              <v:stroke on="f" weight="0.5pt"/>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Style w:val="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60031488"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6003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2045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32"/>
                              <w:szCs w:val="32"/>
                            </w:rPr>
                          </w:pPr>
                          <w:r>
                            <w:rPr>
                              <w:rFonts w:ascii="Times New Roman" w:hAnsi="Times New Roman"/>
                              <w:sz w:val="28"/>
                            </w:rPr>
                            <w:t>—</w:t>
                          </w:r>
                          <w:r>
                            <w:rPr>
                              <w:rFonts w:hint="eastAsia"/>
                              <w:sz w:val="28"/>
                              <w:lang w:val="en-US" w:eastAsia="zh-CN"/>
                            </w:rPr>
                            <w:t xml:space="preserve"> 5 </w:t>
                          </w:r>
                          <w:r>
                            <w:rPr>
                              <w:rFonts w:ascii="Times New Roman" w:hAnsi="Times New Roman"/>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045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rPr>
                        <w:rStyle w:val="6"/>
                        <w:sz w:val="32"/>
                        <w:szCs w:val="32"/>
                      </w:rPr>
                    </w:pPr>
                    <w:r>
                      <w:rPr>
                        <w:rFonts w:ascii="Times New Roman" w:hAnsi="Times New Roman"/>
                        <w:sz w:val="28"/>
                      </w:rPr>
                      <w:t>—</w:t>
                    </w:r>
                    <w:r>
                      <w:rPr>
                        <w:rFonts w:hint="eastAsia"/>
                        <w:sz w:val="28"/>
                        <w:lang w:val="en-US" w:eastAsia="zh-CN"/>
                      </w:rPr>
                      <w:t xml:space="preserve"> 5 </w:t>
                    </w:r>
                    <w:r>
                      <w:rPr>
                        <w:rFonts w:ascii="Times New Roman" w:hAnsi="Times New Roman"/>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sz w:val="32"/>
        <w:szCs w:val="32"/>
      </w:rPr>
    </w:pPr>
    <w:r>
      <w:rPr>
        <w:rFonts w:ascii="Times New Roman" w:hAnsi="Times New Roman"/>
        <w:sz w:val="28"/>
      </w:rPr>
      <w:t xml:space="preserve">— </w:t>
    </w:r>
    <w:r>
      <w:rPr>
        <w:rFonts w:hint="eastAsia"/>
        <w:sz w:val="28"/>
        <w:lang w:val="en-US" w:eastAsia="zh-CN"/>
      </w:rPr>
      <w:t xml:space="preserve">2 </w:t>
    </w:r>
    <w:r>
      <w:rPr>
        <w:rFonts w:ascii="Times New Roman" w:hAnsi="Times New Roman"/>
        <w:sz w:val="28"/>
      </w:rPr>
      <w:t>—</w:t>
    </w:r>
  </w:p>
  <w:p>
    <w:pPr>
      <w:pStyle w:val="2"/>
    </w:pPr>
    <w:r>
      <w:rPr>
        <w:sz w:val="18"/>
      </w:rPr>
      <mc:AlternateContent>
        <mc:Choice Requires="wps">
          <w:drawing>
            <wp:anchor distT="0" distB="0" distL="114300" distR="114300" simplePos="0" relativeHeight="2522849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284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
                      <w:rPr>
                        <w:rStyle w:val="6"/>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940275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32"/>
                              <w:szCs w:val="32"/>
                            </w:rPr>
                          </w:pPr>
                          <w:r>
                            <w:rPr>
                              <w:rFonts w:ascii="Times New Roman" w:hAnsi="Times New Roman"/>
                              <w:sz w:val="28"/>
                            </w:rPr>
                            <w:t>—</w:t>
                          </w:r>
                          <w:r>
                            <w:rPr>
                              <w:rFonts w:hint="eastAsia"/>
                              <w:sz w:val="28"/>
                              <w:lang w:val="en-US" w:eastAsia="zh-CN"/>
                            </w:rPr>
                            <w:t xml:space="preserve"> 3 </w:t>
                          </w:r>
                          <w:r>
                            <w:rPr>
                              <w:rFonts w:ascii="Times New Roman" w:hAnsi="Times New Roman"/>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940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2"/>
                      <w:rPr>
                        <w:rStyle w:val="6"/>
                        <w:sz w:val="32"/>
                        <w:szCs w:val="32"/>
                      </w:rPr>
                    </w:pPr>
                    <w:r>
                      <w:rPr>
                        <w:rFonts w:ascii="Times New Roman" w:hAnsi="Times New Roman"/>
                        <w:sz w:val="28"/>
                      </w:rPr>
                      <w:t>—</w:t>
                    </w:r>
                    <w:r>
                      <w:rPr>
                        <w:rFonts w:hint="eastAsia"/>
                        <w:sz w:val="28"/>
                        <w:lang w:val="en-US" w:eastAsia="zh-CN"/>
                      </w:rPr>
                      <w:t xml:space="preserve"> 3 </w:t>
                    </w:r>
                    <w:r>
                      <w:rPr>
                        <w:rFonts w:ascii="Times New Roman" w:hAnsi="Times New Roman"/>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sz w:val="32"/>
        <w:szCs w:val="32"/>
      </w:rPr>
    </w:pPr>
    <w:r>
      <w:rPr>
        <w:rFonts w:ascii="Times New Roman" w:hAnsi="Times New Roman"/>
        <w:sz w:val="28"/>
      </w:rPr>
      <w:t xml:space="preserve">— </w:t>
    </w:r>
    <w:r>
      <w:rPr>
        <w:rFonts w:hint="eastAsia"/>
        <w:sz w:val="28"/>
        <w:lang w:val="en-US" w:eastAsia="zh-CN"/>
      </w:rPr>
      <w:t xml:space="preserve">4 </w:t>
    </w:r>
    <w:r>
      <w:rPr>
        <w:rFonts w:ascii="Times New Roman" w:hAnsi="Times New Roman"/>
        <w:sz w:val="28"/>
      </w:rPr>
      <w:t>—</w:t>
    </w:r>
  </w:p>
  <w:p>
    <w:pPr>
      <w:pStyle w:val="2"/>
    </w:pPr>
    <w:r>
      <w:rPr>
        <w:sz w:val="18"/>
      </w:rPr>
      <mc:AlternateContent>
        <mc:Choice Requires="wps">
          <w:drawing>
            <wp:anchor distT="0" distB="0" distL="114300" distR="114300" simplePos="0" relativeHeight="260030464"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6003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2"/>
                      <w:rPr>
                        <w:rStyle w:val="6"/>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9014656" behindDoc="0" locked="0" layoutInCell="1" allowOverlap="1">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9014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369088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32"/>
                              <w:szCs w:val="32"/>
                            </w:rPr>
                          </w:pPr>
                          <w:r>
                            <w:rPr>
                              <w:rFonts w:ascii="Times New Roman" w:hAnsi="Times New Roman"/>
                              <w:sz w:val="28"/>
                            </w:rPr>
                            <w:t xml:space="preserve">— </w:t>
                          </w:r>
                          <w:r>
                            <w:rPr>
                              <w:rFonts w:hint="eastAsia"/>
                              <w:sz w:val="28"/>
                              <w:lang w:val="en-US" w:eastAsia="zh-CN"/>
                            </w:rPr>
                            <w:t xml:space="preserve">7 </w:t>
                          </w:r>
                          <w:r>
                            <w:rPr>
                              <w:rFonts w:ascii="Times New Roman" w:hAnsi="Times New Roman"/>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369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2"/>
                      <w:rPr>
                        <w:rStyle w:val="6"/>
                        <w:sz w:val="32"/>
                        <w:szCs w:val="32"/>
                      </w:rPr>
                    </w:pPr>
                    <w:r>
                      <w:rPr>
                        <w:rFonts w:ascii="Times New Roman" w:hAnsi="Times New Roman"/>
                        <w:sz w:val="28"/>
                      </w:rPr>
                      <w:t xml:space="preserve">— </w:t>
                    </w:r>
                    <w:r>
                      <w:rPr>
                        <w:rFonts w:hint="eastAsia"/>
                        <w:sz w:val="28"/>
                        <w:lang w:val="en-US" w:eastAsia="zh-CN"/>
                      </w:rPr>
                      <w:t xml:space="preserve">7 </w:t>
                    </w:r>
                    <w:r>
                      <w:rPr>
                        <w:rFonts w:ascii="Times New Roman" w:hAnsi="Times New Roman"/>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sz w:val="32"/>
        <w:szCs w:val="32"/>
      </w:rPr>
    </w:pPr>
    <w:r>
      <w:rPr>
        <w:rFonts w:ascii="Times New Roman" w:hAnsi="Times New Roman"/>
        <w:sz w:val="28"/>
      </w:rPr>
      <w:t xml:space="preserve">— </w:t>
    </w:r>
    <w:r>
      <w:rPr>
        <w:rFonts w:hint="eastAsia"/>
        <w:sz w:val="28"/>
        <w:lang w:val="en-US" w:eastAsia="zh-CN"/>
      </w:rPr>
      <w:t xml:space="preserve">6 </w:t>
    </w:r>
    <w:r>
      <w:rPr>
        <w:rFonts w:ascii="Times New Roman" w:hAnsi="Times New Roman"/>
        <w:sz w:val="28"/>
      </w:rPr>
      <w:t>—</w:t>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635225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32"/>
                              <w:szCs w:val="32"/>
                            </w:rPr>
                          </w:pPr>
                          <w:r>
                            <w:rPr>
                              <w:rFonts w:ascii="Times New Roman" w:hAnsi="Times New Roman"/>
                              <w:sz w:val="28"/>
                            </w:rPr>
                            <w:t xml:space="preserve">— </w:t>
                          </w:r>
                          <w:r>
                            <w:rPr>
                              <w:rFonts w:hint="eastAsia"/>
                              <w:sz w:val="28"/>
                              <w:lang w:val="en-US" w:eastAsia="zh-CN"/>
                            </w:rPr>
                            <w:t xml:space="preserve">7 </w:t>
                          </w:r>
                          <w:r>
                            <w:rPr>
                              <w:rFonts w:ascii="Times New Roman" w:hAnsi="Times New Roman"/>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6352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Style w:val="6"/>
                        <w:sz w:val="32"/>
                        <w:szCs w:val="32"/>
                      </w:rPr>
                    </w:pPr>
                    <w:r>
                      <w:rPr>
                        <w:rFonts w:ascii="Times New Roman" w:hAnsi="Times New Roman"/>
                        <w:sz w:val="28"/>
                      </w:rPr>
                      <w:t xml:space="preserve">— </w:t>
                    </w:r>
                    <w:r>
                      <w:rPr>
                        <w:rFonts w:hint="eastAsia"/>
                        <w:sz w:val="28"/>
                        <w:lang w:val="en-US" w:eastAsia="zh-CN"/>
                      </w:rPr>
                      <w:t xml:space="preserve">7 </w:t>
                    </w:r>
                    <w:r>
                      <w:rPr>
                        <w:rFonts w:ascii="Times New Roman" w:hAnsi="Times New Roman"/>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71"/>
    <w:rsid w:val="000060E9"/>
    <w:rsid w:val="00012626"/>
    <w:rsid w:val="00024683"/>
    <w:rsid w:val="00042E0D"/>
    <w:rsid w:val="00096F06"/>
    <w:rsid w:val="000A2AB1"/>
    <w:rsid w:val="000D4199"/>
    <w:rsid w:val="000E163E"/>
    <w:rsid w:val="000F2138"/>
    <w:rsid w:val="00123FD4"/>
    <w:rsid w:val="001723C7"/>
    <w:rsid w:val="00192EE7"/>
    <w:rsid w:val="001D5247"/>
    <w:rsid w:val="001F3E7D"/>
    <w:rsid w:val="001F5E40"/>
    <w:rsid w:val="002125E6"/>
    <w:rsid w:val="002126E5"/>
    <w:rsid w:val="00220C24"/>
    <w:rsid w:val="00257BAA"/>
    <w:rsid w:val="0026215A"/>
    <w:rsid w:val="002C51FC"/>
    <w:rsid w:val="003775B4"/>
    <w:rsid w:val="003B4F24"/>
    <w:rsid w:val="003B4FEF"/>
    <w:rsid w:val="003E7253"/>
    <w:rsid w:val="00427167"/>
    <w:rsid w:val="00460EDF"/>
    <w:rsid w:val="004E3310"/>
    <w:rsid w:val="004F6B9A"/>
    <w:rsid w:val="00500D86"/>
    <w:rsid w:val="00517217"/>
    <w:rsid w:val="00523270"/>
    <w:rsid w:val="00531659"/>
    <w:rsid w:val="00540F40"/>
    <w:rsid w:val="00543350"/>
    <w:rsid w:val="00546571"/>
    <w:rsid w:val="005644AD"/>
    <w:rsid w:val="005828F1"/>
    <w:rsid w:val="005C284A"/>
    <w:rsid w:val="005F5FA2"/>
    <w:rsid w:val="0060049B"/>
    <w:rsid w:val="00634F2A"/>
    <w:rsid w:val="00637C38"/>
    <w:rsid w:val="00641E44"/>
    <w:rsid w:val="006753F8"/>
    <w:rsid w:val="00692BE8"/>
    <w:rsid w:val="006C6746"/>
    <w:rsid w:val="006E1AB1"/>
    <w:rsid w:val="00701EDB"/>
    <w:rsid w:val="00705190"/>
    <w:rsid w:val="00705D71"/>
    <w:rsid w:val="0070787A"/>
    <w:rsid w:val="00743CA4"/>
    <w:rsid w:val="00747B3F"/>
    <w:rsid w:val="00753C95"/>
    <w:rsid w:val="00762646"/>
    <w:rsid w:val="00780165"/>
    <w:rsid w:val="007A2CD2"/>
    <w:rsid w:val="007D6A95"/>
    <w:rsid w:val="007E20E3"/>
    <w:rsid w:val="008154D7"/>
    <w:rsid w:val="00822DA0"/>
    <w:rsid w:val="008233BC"/>
    <w:rsid w:val="00831796"/>
    <w:rsid w:val="0083293A"/>
    <w:rsid w:val="00835E22"/>
    <w:rsid w:val="008554D4"/>
    <w:rsid w:val="008725D0"/>
    <w:rsid w:val="00882F47"/>
    <w:rsid w:val="00884761"/>
    <w:rsid w:val="008A0911"/>
    <w:rsid w:val="008B45DA"/>
    <w:rsid w:val="008C4221"/>
    <w:rsid w:val="00950B1E"/>
    <w:rsid w:val="00955E15"/>
    <w:rsid w:val="00983B7C"/>
    <w:rsid w:val="009C779C"/>
    <w:rsid w:val="009D0FA1"/>
    <w:rsid w:val="009F0325"/>
    <w:rsid w:val="00A21DC2"/>
    <w:rsid w:val="00A24173"/>
    <w:rsid w:val="00A40E23"/>
    <w:rsid w:val="00A50E72"/>
    <w:rsid w:val="00A85E85"/>
    <w:rsid w:val="00AD0FB8"/>
    <w:rsid w:val="00B15E07"/>
    <w:rsid w:val="00B42189"/>
    <w:rsid w:val="00B435AF"/>
    <w:rsid w:val="00B66207"/>
    <w:rsid w:val="00B72D8D"/>
    <w:rsid w:val="00B94CAB"/>
    <w:rsid w:val="00BD4FD8"/>
    <w:rsid w:val="00BE2073"/>
    <w:rsid w:val="00BE289B"/>
    <w:rsid w:val="00BE2C85"/>
    <w:rsid w:val="00C02CCE"/>
    <w:rsid w:val="00C07547"/>
    <w:rsid w:val="00C64A54"/>
    <w:rsid w:val="00C65F28"/>
    <w:rsid w:val="00C67EB6"/>
    <w:rsid w:val="00CB28C5"/>
    <w:rsid w:val="00CC13D1"/>
    <w:rsid w:val="00CC6FA3"/>
    <w:rsid w:val="00CF0ADB"/>
    <w:rsid w:val="00CF442D"/>
    <w:rsid w:val="00CF4538"/>
    <w:rsid w:val="00CF5481"/>
    <w:rsid w:val="00D12313"/>
    <w:rsid w:val="00D472A5"/>
    <w:rsid w:val="00D93918"/>
    <w:rsid w:val="00DA1644"/>
    <w:rsid w:val="00DB4D2A"/>
    <w:rsid w:val="00DE5B67"/>
    <w:rsid w:val="00DF1933"/>
    <w:rsid w:val="00E141D5"/>
    <w:rsid w:val="00E431FC"/>
    <w:rsid w:val="00E438DC"/>
    <w:rsid w:val="00E57171"/>
    <w:rsid w:val="00E651A8"/>
    <w:rsid w:val="00E6798C"/>
    <w:rsid w:val="00E77F4A"/>
    <w:rsid w:val="00EA0A00"/>
    <w:rsid w:val="00EF7363"/>
    <w:rsid w:val="00F17DB4"/>
    <w:rsid w:val="00F25E0F"/>
    <w:rsid w:val="00F335BC"/>
    <w:rsid w:val="00F51FA0"/>
    <w:rsid w:val="00F53915"/>
    <w:rsid w:val="00F55469"/>
    <w:rsid w:val="00F56F47"/>
    <w:rsid w:val="00F90BE7"/>
    <w:rsid w:val="00F937F7"/>
    <w:rsid w:val="01805FEA"/>
    <w:rsid w:val="0615081C"/>
    <w:rsid w:val="0B9840E0"/>
    <w:rsid w:val="1BCF774D"/>
    <w:rsid w:val="1BFD326B"/>
    <w:rsid w:val="1DB94FB3"/>
    <w:rsid w:val="1F4911BC"/>
    <w:rsid w:val="1F9C0DB4"/>
    <w:rsid w:val="24E10EBD"/>
    <w:rsid w:val="28C0115B"/>
    <w:rsid w:val="2AA8504B"/>
    <w:rsid w:val="2D9E7407"/>
    <w:rsid w:val="344B2E24"/>
    <w:rsid w:val="349617BF"/>
    <w:rsid w:val="3620230E"/>
    <w:rsid w:val="3A9C5DCA"/>
    <w:rsid w:val="3AD707B3"/>
    <w:rsid w:val="3B1B5687"/>
    <w:rsid w:val="3CDB75A7"/>
    <w:rsid w:val="3DAB101D"/>
    <w:rsid w:val="3E3811D8"/>
    <w:rsid w:val="41765697"/>
    <w:rsid w:val="488F7AB7"/>
    <w:rsid w:val="48B55D95"/>
    <w:rsid w:val="4E0437B7"/>
    <w:rsid w:val="4E441202"/>
    <w:rsid w:val="54B53A92"/>
    <w:rsid w:val="55BE23B7"/>
    <w:rsid w:val="5B5D3786"/>
    <w:rsid w:val="5F6C7D58"/>
    <w:rsid w:val="682A119C"/>
    <w:rsid w:val="6B254CE7"/>
    <w:rsid w:val="6CA04A8E"/>
    <w:rsid w:val="6CC520FC"/>
    <w:rsid w:val="6CED3C83"/>
    <w:rsid w:val="6D251935"/>
    <w:rsid w:val="792458F4"/>
    <w:rsid w:val="7F144C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page number"/>
    <w:basedOn w:val="5"/>
    <w:qFormat/>
    <w:uiPriority w:val="99"/>
    <w:rPr>
      <w:rFonts w:cs="Times New Roman"/>
    </w:rPr>
  </w:style>
  <w:style w:type="character" w:styleId="7">
    <w:name w:val="FollowedHyperlink"/>
    <w:basedOn w:val="5"/>
    <w:qFormat/>
    <w:uiPriority w:val="99"/>
    <w:rPr>
      <w:rFonts w:cs="Times New Roman"/>
      <w:color w:val="3D3D3D"/>
      <w:u w:val="none"/>
    </w:rPr>
  </w:style>
  <w:style w:type="character" w:styleId="8">
    <w:name w:val="Hyperlink"/>
    <w:basedOn w:val="5"/>
    <w:qFormat/>
    <w:uiPriority w:val="99"/>
    <w:rPr>
      <w:rFonts w:cs="Times New Roman"/>
      <w:color w:val="3D3D3D"/>
      <w:u w:val="none"/>
    </w:rPr>
  </w:style>
  <w:style w:type="character" w:customStyle="1" w:styleId="10">
    <w:name w:val="Footer Char"/>
    <w:basedOn w:val="5"/>
    <w:link w:val="2"/>
    <w:qFormat/>
    <w:locked/>
    <w:uiPriority w:val="99"/>
    <w:rPr>
      <w:rFonts w:ascii="Times New Roman" w:hAnsi="Times New Roman" w:eastAsia="宋体" w:cs="Times New Roman"/>
      <w:sz w:val="18"/>
      <w:szCs w:val="18"/>
    </w:rPr>
  </w:style>
  <w:style w:type="character" w:customStyle="1" w:styleId="11">
    <w:name w:val="Header Char"/>
    <w:basedOn w:val="5"/>
    <w:link w:val="3"/>
    <w:qFormat/>
    <w:locked/>
    <w:uiPriority w:val="99"/>
    <w:rPr>
      <w:rFonts w:ascii="Times New Roman" w:hAnsi="Times New Roman" w:eastAsia="宋体" w:cs="Times New Roman"/>
      <w:sz w:val="24"/>
      <w:szCs w:val="24"/>
    </w:rPr>
  </w:style>
  <w:style w:type="paragraph" w:customStyle="1" w:styleId="12">
    <w:name w:val="标题1"/>
    <w:basedOn w:val="1"/>
    <w:next w:val="1"/>
    <w:qFormat/>
    <w:uiPriority w:val="99"/>
    <w:pPr>
      <w:tabs>
        <w:tab w:val="left" w:pos="9193"/>
        <w:tab w:val="left" w:pos="9827"/>
      </w:tabs>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611</Words>
  <Characters>3484</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2017-05-24T07:12:00Z</dcterms:created>
  <dc:creator>user</dc:creator>
  <cp:lastModifiedBy>user</cp:lastModifiedBy>
  <cp:lastPrinted>2017-06-09T08:08:00Z</cp:lastPrinted>
  <dcterms:modified xsi:type="dcterms:W3CDTF">2017-09-07T03:32:19Z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